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D22B" w14:textId="77777777" w:rsidR="00304455" w:rsidRPr="00F64114" w:rsidRDefault="00D5155B" w:rsidP="00F65523">
      <w:pPr>
        <w:tabs>
          <w:tab w:val="left" w:pos="-720"/>
        </w:tabs>
        <w:ind w:left="-720"/>
        <w:rPr>
          <w:noProof/>
          <w:lang w:val="fr-CA"/>
        </w:rPr>
      </w:pPr>
      <w:r w:rsidRPr="00F64114">
        <w:rPr>
          <w:noProof/>
          <w:lang w:val="fr-CA"/>
        </w:rPr>
        <w:drawing>
          <wp:inline distT="0" distB="0" distL="0" distR="0" wp14:anchorId="35DED63E" wp14:editId="496F0CAC">
            <wp:extent cx="3882398" cy="10896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3899761" cy="1094533"/>
                    </a:xfrm>
                    <a:prstGeom prst="rect">
                      <a:avLst/>
                    </a:prstGeom>
                    <a:noFill/>
                    <a:ln>
                      <a:noFill/>
                    </a:ln>
                  </pic:spPr>
                </pic:pic>
              </a:graphicData>
            </a:graphic>
          </wp:inline>
        </w:drawing>
      </w:r>
    </w:p>
    <w:p w14:paraId="19FE808F" w14:textId="77777777" w:rsidR="001D4792" w:rsidRPr="00F64114" w:rsidRDefault="001D4792" w:rsidP="00842B72">
      <w:pPr>
        <w:rPr>
          <w:noProof/>
          <w:lang w:val="fr-CA"/>
        </w:rPr>
      </w:pPr>
    </w:p>
    <w:p w14:paraId="57848432" w14:textId="71E0FB5C" w:rsidR="00794A12" w:rsidRPr="00F64114" w:rsidRDefault="00F975E2" w:rsidP="00F65523">
      <w:pPr>
        <w:rPr>
          <w:noProof/>
          <w:lang w:val="fr-CA"/>
        </w:rPr>
      </w:pPr>
      <w:r w:rsidRPr="00F64114">
        <w:rPr>
          <w:noProof/>
          <w:lang w:val="fr-CA"/>
        </w:rPr>
        <w:t>Le 6 janvier</w:t>
      </w:r>
      <w:r w:rsidR="00872390" w:rsidRPr="00F64114">
        <w:rPr>
          <w:noProof/>
          <w:lang w:val="fr-CA"/>
        </w:rPr>
        <w:t xml:space="preserve"> 20</w:t>
      </w:r>
      <w:r w:rsidR="001B25FD" w:rsidRPr="00F64114">
        <w:rPr>
          <w:noProof/>
          <w:lang w:val="fr-CA"/>
        </w:rPr>
        <w:t>2</w:t>
      </w:r>
      <w:r w:rsidR="008550A1" w:rsidRPr="00F64114">
        <w:rPr>
          <w:noProof/>
          <w:lang w:val="fr-CA"/>
        </w:rPr>
        <w:t>6</w:t>
      </w:r>
    </w:p>
    <w:p w14:paraId="11D05958" w14:textId="77777777" w:rsidR="00794A12" w:rsidRPr="00F64114" w:rsidRDefault="00794A12" w:rsidP="00F65523">
      <w:pPr>
        <w:rPr>
          <w:noProof/>
          <w:lang w:val="fr-CA"/>
        </w:rPr>
      </w:pPr>
    </w:p>
    <w:p w14:paraId="01003D05" w14:textId="77777777" w:rsidR="00C748E9" w:rsidRPr="00F64114" w:rsidRDefault="00C748E9" w:rsidP="00F65523">
      <w:pPr>
        <w:rPr>
          <w:b/>
          <w:bCs/>
          <w:noProof/>
          <w:lang w:val="fr-CA"/>
        </w:rPr>
      </w:pPr>
    </w:p>
    <w:p w14:paraId="01319734" w14:textId="7855BC9C" w:rsidR="001D4792" w:rsidRPr="00F64114" w:rsidRDefault="00F975E2" w:rsidP="00FA3829">
      <w:pPr>
        <w:jc w:val="center"/>
        <w:rPr>
          <w:b/>
          <w:bCs/>
          <w:noProof/>
          <w:lang w:val="fr-CA"/>
        </w:rPr>
      </w:pPr>
      <w:r w:rsidRPr="00F64114">
        <w:rPr>
          <w:b/>
          <w:bCs/>
          <w:noProof/>
          <w:lang w:val="fr-CA"/>
        </w:rPr>
        <w:t>Modifications proposées aux Normes relatives aux lois annuelles sur les taux d’imposition des premières nations (2017)</w:t>
      </w:r>
      <w:r w:rsidR="00A82840" w:rsidRPr="00F64114">
        <w:rPr>
          <w:b/>
          <w:bCs/>
          <w:noProof/>
          <w:lang w:val="fr-CA"/>
        </w:rPr>
        <w:t xml:space="preserve"> </w:t>
      </w:r>
    </w:p>
    <w:p w14:paraId="668243B6" w14:textId="77777777" w:rsidR="0090260F" w:rsidRPr="00F64114" w:rsidRDefault="0090260F" w:rsidP="00F65523">
      <w:pPr>
        <w:jc w:val="center"/>
        <w:rPr>
          <w:b/>
          <w:bCs/>
          <w:noProof/>
          <w:lang w:val="fr-CA"/>
        </w:rPr>
      </w:pPr>
    </w:p>
    <w:p w14:paraId="2E6C8DB2" w14:textId="77777777" w:rsidR="00FF1BCD" w:rsidRPr="00F64114" w:rsidRDefault="00FF1BCD" w:rsidP="00F65523">
      <w:pPr>
        <w:rPr>
          <w:rFonts w:cs="Arial"/>
          <w:noProof/>
          <w:lang w:val="fr-CA"/>
        </w:rPr>
      </w:pPr>
    </w:p>
    <w:p w14:paraId="62B682D4" w14:textId="1D574F59" w:rsidR="00F975E2" w:rsidRPr="00F64114" w:rsidRDefault="00F975E2" w:rsidP="00F975E2">
      <w:pPr>
        <w:rPr>
          <w:rFonts w:cs="Arial"/>
          <w:noProof/>
          <w:lang w:val="fr-CA"/>
        </w:rPr>
      </w:pPr>
      <w:r w:rsidRPr="00F64114">
        <w:rPr>
          <w:rFonts w:cs="Arial"/>
          <w:noProof/>
          <w:lang w:val="fr-CA"/>
        </w:rPr>
        <w:t xml:space="preserve">Les normes établies par la Commission de la fiscalité des premières nations (la « Commission » ou la « CFPN ») représentent les pratiques exemplaires d’imposition foncière et visent à appuyer la croissance économique des Premières Nations et l’exercice de leur compétence, l’harmonisation de la fiscalité ainsi que les intérêts des intervenants du régime d’imposition foncière des Premières Nations.   </w:t>
      </w:r>
    </w:p>
    <w:p w14:paraId="1584B876" w14:textId="0EC5DD34" w:rsidR="005E620B" w:rsidRPr="00F64114" w:rsidRDefault="009E3116" w:rsidP="00F65523">
      <w:pPr>
        <w:rPr>
          <w:rFonts w:cs="Arial"/>
          <w:noProof/>
          <w:lang w:val="fr-CA"/>
        </w:rPr>
      </w:pPr>
      <w:r w:rsidRPr="00F64114">
        <w:rPr>
          <w:rFonts w:cs="Arial"/>
          <w:noProof/>
          <w:lang w:val="fr-CA"/>
        </w:rPr>
        <w:t xml:space="preserve">   </w:t>
      </w:r>
    </w:p>
    <w:p w14:paraId="6FAB53A7" w14:textId="77777777" w:rsidR="00F975E2" w:rsidRPr="00F64114" w:rsidRDefault="00F975E2" w:rsidP="00F65523">
      <w:pPr>
        <w:rPr>
          <w:rFonts w:cs="Arial"/>
          <w:noProof/>
          <w:lang w:val="fr-CA"/>
        </w:rPr>
      </w:pPr>
      <w:r w:rsidRPr="00F64114">
        <w:rPr>
          <w:rFonts w:cs="Arial"/>
          <w:noProof/>
          <w:lang w:val="fr-CA"/>
        </w:rPr>
        <w:t>En vertu de</w:t>
      </w:r>
      <w:r w:rsidRPr="00F64114">
        <w:rPr>
          <w:rFonts w:cs="Arial"/>
          <w:noProof/>
          <w:lang w:val="fr-CA"/>
        </w:rPr>
        <w:fldChar w:fldCharType="begin"/>
      </w:r>
      <w:r w:rsidRPr="00F64114">
        <w:rPr>
          <w:rFonts w:cs="Arial"/>
          <w:noProof/>
          <w:lang w:val="fr-CA"/>
        </w:rPr>
        <w:instrText xml:space="preserve"> SEQ CHAPTER \h \r 1</w:instrText>
      </w:r>
      <w:r w:rsidRPr="00F64114">
        <w:rPr>
          <w:rFonts w:cs="Arial"/>
          <w:noProof/>
          <w:lang w:val="fr-CA"/>
        </w:rPr>
        <w:fldChar w:fldCharType="end"/>
      </w:r>
      <w:r w:rsidRPr="00F64114">
        <w:rPr>
          <w:rFonts w:cs="Arial"/>
          <w:noProof/>
          <w:lang w:val="fr-CA"/>
        </w:rPr>
        <w:t xml:space="preserve"> la </w:t>
      </w:r>
      <w:r w:rsidRPr="00F64114">
        <w:rPr>
          <w:rFonts w:cs="Arial"/>
          <w:i/>
          <w:iCs/>
          <w:noProof/>
          <w:lang w:val="fr-CA"/>
        </w:rPr>
        <w:t>Loi</w:t>
      </w:r>
      <w:r w:rsidRPr="00F64114">
        <w:rPr>
          <w:i/>
          <w:iCs/>
          <w:noProof/>
          <w:lang w:val="fr-CA"/>
        </w:rPr>
        <w:t xml:space="preserve"> sur la gestion financière des premières nations</w:t>
      </w:r>
      <w:r w:rsidRPr="00F64114">
        <w:rPr>
          <w:noProof/>
          <w:lang w:val="fr-CA"/>
        </w:rPr>
        <w:t xml:space="preserve"> (la « Loi »), la Commission est chargée de l’examen et de l’agrément des textes législatifs. L’alinéa 35(1)a) de la Loi confère à la Commission le pouvoir d’établir des normes concernant la forme et le contenu des textes législatifs sur les recettes locales</w:t>
      </w:r>
      <w:r w:rsidRPr="00F64114">
        <w:rPr>
          <w:rFonts w:cs="Arial"/>
          <w:noProof/>
          <w:lang w:val="fr-CA"/>
        </w:rPr>
        <w:t>, dans la mesure où elles ne sont pas incompatibles avec les règlements. Les normes établies par la Commission constituent des exigences supplémentaires qui, ajoutées à celles de la Loi et de ses règlements d’application, forment le cadre réglementaire qui régit la fiscalité des Premières Nations sous le régime de la Loi.</w:t>
      </w:r>
    </w:p>
    <w:p w14:paraId="303DFD55" w14:textId="77777777" w:rsidR="00F975E2" w:rsidRPr="00F64114" w:rsidRDefault="00F975E2" w:rsidP="00F65523">
      <w:pPr>
        <w:rPr>
          <w:rFonts w:cs="Arial"/>
          <w:noProof/>
          <w:lang w:val="fr-CA"/>
        </w:rPr>
      </w:pPr>
    </w:p>
    <w:p w14:paraId="62F85653" w14:textId="552C814A" w:rsidR="00F975E2" w:rsidRPr="00F64114" w:rsidRDefault="00F975E2" w:rsidP="00F65523">
      <w:pPr>
        <w:rPr>
          <w:noProof/>
          <w:lang w:val="fr-CA"/>
        </w:rPr>
      </w:pPr>
      <w:r w:rsidRPr="00F64114">
        <w:rPr>
          <w:rFonts w:cs="Times-Roman"/>
          <w:bCs/>
          <w:noProof/>
          <w:color w:val="000000"/>
          <w:lang w:val="fr-CA"/>
        </w:rPr>
        <w:t xml:space="preserve">La Commission a pour politique de </w:t>
      </w:r>
      <w:r w:rsidRPr="00F64114">
        <w:rPr>
          <w:noProof/>
          <w:lang w:val="fr-CA"/>
        </w:rPr>
        <w:t>solliciter les commentaires du public avant d’adopter des normes ou de les modifier substantiellement. Cette rétroaction est essentielle pour lui permettre d’élaborer des normes satisfaisantes et efficaces pour les Premières Nations participantes et leurs contribuables.</w:t>
      </w:r>
    </w:p>
    <w:p w14:paraId="754306D4" w14:textId="6116653C" w:rsidR="001B25FD" w:rsidRPr="00F64114" w:rsidRDefault="00FF1BCD" w:rsidP="00F65523">
      <w:pPr>
        <w:rPr>
          <w:noProof/>
          <w:lang w:val="fr-CA"/>
        </w:rPr>
      </w:pPr>
      <w:r w:rsidRPr="00F64114">
        <w:rPr>
          <w:rFonts w:cs="Arial"/>
          <w:noProof/>
          <w:lang w:val="fr-CA"/>
        </w:rPr>
        <w:fldChar w:fldCharType="begin"/>
      </w:r>
      <w:r w:rsidRPr="00F64114">
        <w:rPr>
          <w:rFonts w:cs="Arial"/>
          <w:noProof/>
          <w:lang w:val="fr-CA"/>
        </w:rPr>
        <w:instrText xml:space="preserve"> SEQ CHAPTER \h \r 1</w:instrText>
      </w:r>
      <w:r w:rsidRPr="00F64114">
        <w:rPr>
          <w:rFonts w:cs="Arial"/>
          <w:noProof/>
          <w:lang w:val="fr-CA"/>
        </w:rPr>
        <w:fldChar w:fldCharType="end"/>
      </w:r>
      <w:r w:rsidRPr="00F64114">
        <w:rPr>
          <w:noProof/>
          <w:lang w:val="fr-CA"/>
        </w:rPr>
        <w:t xml:space="preserve">  </w:t>
      </w:r>
      <w:r w:rsidR="00636C7C" w:rsidRPr="00F64114">
        <w:rPr>
          <w:noProof/>
          <w:lang w:val="fr-CA"/>
        </w:rPr>
        <w:t xml:space="preserve"> </w:t>
      </w:r>
    </w:p>
    <w:p w14:paraId="560FBD6E" w14:textId="54CC99AA" w:rsidR="00A82840" w:rsidRPr="00F64114" w:rsidRDefault="00F975E2" w:rsidP="00C526E3">
      <w:pPr>
        <w:rPr>
          <w:rFonts w:cs="Times-Roman"/>
          <w:noProof/>
          <w:color w:val="000000"/>
          <w:lang w:val="fr-CA"/>
        </w:rPr>
      </w:pPr>
      <w:r w:rsidRPr="00F64114">
        <w:rPr>
          <w:rFonts w:cs="Times-Roman"/>
          <w:bCs/>
          <w:noProof/>
          <w:color w:val="000000"/>
          <w:lang w:val="fr-CA"/>
        </w:rPr>
        <w:t xml:space="preserve">Les </w:t>
      </w:r>
      <w:r w:rsidRPr="00F64114">
        <w:rPr>
          <w:i/>
          <w:iCs/>
          <w:noProof/>
          <w:lang w:val="fr-CA"/>
        </w:rPr>
        <w:t>Normes relatives aux lois annuelles sur les taux d’imposition des premières nations (2017)</w:t>
      </w:r>
      <w:r w:rsidRPr="00F64114">
        <w:rPr>
          <w:b/>
          <w:bCs/>
          <w:noProof/>
          <w:lang w:val="fr-CA"/>
        </w:rPr>
        <w:t xml:space="preserve"> </w:t>
      </w:r>
      <w:r w:rsidRPr="00F64114">
        <w:rPr>
          <w:noProof/>
          <w:lang w:val="fr-CA"/>
        </w:rPr>
        <w:t>établissent les exigences relatives aux textes législatifs pris en vertu du sous-alinéa</w:t>
      </w:r>
      <w:r w:rsidR="00C526E3" w:rsidRPr="00F64114">
        <w:rPr>
          <w:noProof/>
          <w:lang w:val="fr-CA"/>
        </w:rPr>
        <w:t xml:space="preserve"> 5(1)a)(ii)</w:t>
      </w:r>
      <w:r w:rsidRPr="00F64114">
        <w:rPr>
          <w:noProof/>
          <w:lang w:val="fr-CA"/>
        </w:rPr>
        <w:t xml:space="preserve"> de la Loi. La CFPN utilisent ces normes pour l’examen et l’agrément des textes législatifs annuels sur les taux d’imposition</w:t>
      </w:r>
      <w:r w:rsidR="00881625">
        <w:rPr>
          <w:noProof/>
          <w:lang w:val="fr-CA"/>
        </w:rPr>
        <w:t xml:space="preserve">, </w:t>
      </w:r>
      <w:r w:rsidRPr="00F64114">
        <w:rPr>
          <w:noProof/>
          <w:lang w:val="fr-CA"/>
        </w:rPr>
        <w:t>conformément à l’article 31 de la Loi</w:t>
      </w:r>
      <w:r w:rsidR="001C06C3">
        <w:rPr>
          <w:noProof/>
          <w:lang w:val="fr-CA"/>
        </w:rPr>
        <w:t>,</w:t>
      </w:r>
      <w:r w:rsidRPr="00F64114">
        <w:rPr>
          <w:noProof/>
          <w:lang w:val="fr-CA"/>
        </w:rPr>
        <w:t xml:space="preserve"> et ces normes s’ajoutent aux exigences énoncées dans la Loi.  </w:t>
      </w:r>
    </w:p>
    <w:p w14:paraId="075AE1DA" w14:textId="77777777" w:rsidR="00A82840" w:rsidRPr="00F64114" w:rsidRDefault="00A82840" w:rsidP="00F65523">
      <w:pPr>
        <w:pStyle w:val="ListParagraph"/>
        <w:ind w:left="0"/>
        <w:rPr>
          <w:rFonts w:cs="Times-Roman"/>
          <w:bCs/>
          <w:noProof/>
          <w:color w:val="000000"/>
          <w:lang w:val="fr-CA"/>
        </w:rPr>
      </w:pPr>
    </w:p>
    <w:p w14:paraId="3BE563EE" w14:textId="3850E31A" w:rsidR="00D30CBB" w:rsidRPr="00F64114" w:rsidRDefault="00F64114" w:rsidP="00983A5D">
      <w:pPr>
        <w:rPr>
          <w:noProof/>
          <w:lang w:val="fr-CA"/>
        </w:rPr>
      </w:pPr>
      <w:r w:rsidRPr="00F64114">
        <w:rPr>
          <w:noProof/>
          <w:lang w:val="fr-CA"/>
        </w:rPr>
        <w:t xml:space="preserve">Les </w:t>
      </w:r>
      <w:r w:rsidR="00DE75B7">
        <w:rPr>
          <w:noProof/>
          <w:lang w:val="fr-CA"/>
        </w:rPr>
        <w:t xml:space="preserve">modifications </w:t>
      </w:r>
      <w:r w:rsidRPr="00F64114">
        <w:rPr>
          <w:noProof/>
          <w:lang w:val="fr-CA"/>
        </w:rPr>
        <w:t>propos</w:t>
      </w:r>
      <w:r>
        <w:rPr>
          <w:noProof/>
          <w:lang w:val="fr-CA"/>
        </w:rPr>
        <w:t>é</w:t>
      </w:r>
      <w:r w:rsidR="00DE75B7">
        <w:rPr>
          <w:noProof/>
          <w:lang w:val="fr-CA"/>
        </w:rPr>
        <w:t>e</w:t>
      </w:r>
      <w:r w:rsidRPr="00F64114">
        <w:rPr>
          <w:noProof/>
          <w:lang w:val="fr-CA"/>
        </w:rPr>
        <w:t xml:space="preserve">s </w:t>
      </w:r>
      <w:r w:rsidR="00DE75B7">
        <w:rPr>
          <w:noProof/>
          <w:lang w:val="fr-CA"/>
        </w:rPr>
        <w:t>aux</w:t>
      </w:r>
      <w:r>
        <w:rPr>
          <w:noProof/>
          <w:lang w:val="fr-CA"/>
        </w:rPr>
        <w:t xml:space="preserve"> articles 7.2 et 7.3</w:t>
      </w:r>
      <w:r w:rsidR="00881625">
        <w:rPr>
          <w:noProof/>
          <w:lang w:val="fr-CA"/>
        </w:rPr>
        <w:t xml:space="preserve"> </w:t>
      </w:r>
      <w:r w:rsidR="00DE75B7">
        <w:rPr>
          <w:noProof/>
          <w:lang w:val="fr-CA"/>
        </w:rPr>
        <w:t>visent</w:t>
      </w:r>
      <w:r>
        <w:rPr>
          <w:noProof/>
          <w:lang w:val="fr-CA"/>
        </w:rPr>
        <w:t> :</w:t>
      </w:r>
    </w:p>
    <w:p w14:paraId="743FABB2" w14:textId="77777777" w:rsidR="00976F2C" w:rsidRPr="00F64114" w:rsidRDefault="00976F2C" w:rsidP="00983A5D">
      <w:pPr>
        <w:rPr>
          <w:noProof/>
          <w:lang w:val="fr-CA"/>
        </w:rPr>
      </w:pPr>
    </w:p>
    <w:p w14:paraId="45BAB360" w14:textId="4B83D14E" w:rsidR="00504FF3" w:rsidRPr="00F64114" w:rsidRDefault="00881625" w:rsidP="00102ED2">
      <w:pPr>
        <w:pStyle w:val="ListParagraph"/>
        <w:numPr>
          <w:ilvl w:val="0"/>
          <w:numId w:val="14"/>
        </w:numPr>
        <w:rPr>
          <w:noProof/>
          <w:lang w:val="fr-CA"/>
        </w:rPr>
      </w:pPr>
      <w:r>
        <w:rPr>
          <w:noProof/>
          <w:lang w:val="fr-CA"/>
        </w:rPr>
        <w:lastRenderedPageBreak/>
        <w:t>à</w:t>
      </w:r>
      <w:r w:rsidR="00DE75B7">
        <w:rPr>
          <w:noProof/>
          <w:lang w:val="fr-CA"/>
        </w:rPr>
        <w:t xml:space="preserve"> </w:t>
      </w:r>
      <w:r w:rsidR="001C06C3">
        <w:rPr>
          <w:noProof/>
          <w:lang w:val="fr-CA"/>
        </w:rPr>
        <w:t>a</w:t>
      </w:r>
      <w:r w:rsidR="00F64114">
        <w:rPr>
          <w:noProof/>
          <w:lang w:val="fr-CA"/>
        </w:rPr>
        <w:t>jouter de nouvelles catégor</w:t>
      </w:r>
      <w:r w:rsidR="00770236" w:rsidRPr="00F64114">
        <w:rPr>
          <w:noProof/>
          <w:lang w:val="fr-CA"/>
        </w:rPr>
        <w:t xml:space="preserve">ies </w:t>
      </w:r>
      <w:r w:rsidR="00F64114">
        <w:rPr>
          <w:noProof/>
          <w:lang w:val="fr-CA"/>
        </w:rPr>
        <w:t xml:space="preserve">de </w:t>
      </w:r>
      <w:r w:rsidR="001C06C3">
        <w:rPr>
          <w:noProof/>
          <w:lang w:val="fr-CA"/>
        </w:rPr>
        <w:t>changements</w:t>
      </w:r>
      <w:r w:rsidR="00F64114">
        <w:rPr>
          <w:noProof/>
          <w:lang w:val="fr-CA"/>
        </w:rPr>
        <w:t xml:space="preserve"> matériels</w:t>
      </w:r>
      <w:r w:rsidR="001C06C3">
        <w:rPr>
          <w:noProof/>
          <w:lang w:val="fr-CA"/>
        </w:rPr>
        <w:t xml:space="preserve"> </w:t>
      </w:r>
      <w:r>
        <w:rPr>
          <w:noProof/>
          <w:lang w:val="fr-CA"/>
        </w:rPr>
        <w:t xml:space="preserve">apportés </w:t>
      </w:r>
      <w:r w:rsidR="001C06C3">
        <w:rPr>
          <w:noProof/>
          <w:lang w:val="fr-CA"/>
        </w:rPr>
        <w:t xml:space="preserve">aux </w:t>
      </w:r>
      <w:r w:rsidR="00F64114">
        <w:rPr>
          <w:noProof/>
          <w:lang w:val="fr-CA"/>
        </w:rPr>
        <w:t xml:space="preserve">biens fonciers qui sont exclus </w:t>
      </w:r>
      <w:r w:rsidR="00F64114" w:rsidRPr="001C06C3">
        <w:rPr>
          <w:noProof/>
          <w:lang w:val="fr-CA"/>
        </w:rPr>
        <w:t>d</w:t>
      </w:r>
      <w:r w:rsidR="001C06C3">
        <w:rPr>
          <w:noProof/>
          <w:lang w:val="fr-CA"/>
        </w:rPr>
        <w:t>u</w:t>
      </w:r>
      <w:r w:rsidR="00F64114">
        <w:rPr>
          <w:noProof/>
          <w:lang w:val="fr-CA"/>
        </w:rPr>
        <w:t xml:space="preserve"> calcul du relevé d’impôt moyen.</w:t>
      </w:r>
    </w:p>
    <w:p w14:paraId="3441D74E" w14:textId="6E475638" w:rsidR="00102ED2" w:rsidRPr="00F64114" w:rsidRDefault="003F1BEC" w:rsidP="00102ED2">
      <w:pPr>
        <w:pStyle w:val="ListParagraph"/>
        <w:numPr>
          <w:ilvl w:val="0"/>
          <w:numId w:val="14"/>
        </w:numPr>
        <w:rPr>
          <w:noProof/>
          <w:lang w:val="fr-CA"/>
        </w:rPr>
      </w:pPr>
      <w:r>
        <w:rPr>
          <w:noProof/>
          <w:lang w:val="fr-CA"/>
        </w:rPr>
        <w:t xml:space="preserve">La CFPN </w:t>
      </w:r>
      <w:r w:rsidR="001C06C3">
        <w:rPr>
          <w:noProof/>
          <w:lang w:val="fr-CA"/>
        </w:rPr>
        <w:t>se sert du</w:t>
      </w:r>
      <w:r>
        <w:rPr>
          <w:noProof/>
          <w:lang w:val="fr-CA"/>
        </w:rPr>
        <w:t xml:space="preserve"> calcul du relevé d’impôt moyen pour déterminer l’impact sur les contribuables d’un changement de taux à </w:t>
      </w:r>
      <w:r w:rsidR="00881625">
        <w:rPr>
          <w:noProof/>
          <w:lang w:val="fr-CA"/>
        </w:rPr>
        <w:t xml:space="preserve">tous les </w:t>
      </w:r>
      <w:r>
        <w:rPr>
          <w:noProof/>
          <w:lang w:val="fr-CA"/>
        </w:rPr>
        <w:t>an</w:t>
      </w:r>
      <w:r w:rsidR="00881625">
        <w:rPr>
          <w:noProof/>
          <w:lang w:val="fr-CA"/>
        </w:rPr>
        <w:t>s</w:t>
      </w:r>
      <w:r>
        <w:rPr>
          <w:noProof/>
          <w:lang w:val="fr-CA"/>
        </w:rPr>
        <w:t xml:space="preserve">.  Pour que le calcul du relevé d’impôt moyen soit utile, les paragraphes 7.2 et 7.3 </w:t>
      </w:r>
      <w:r w:rsidR="00881625">
        <w:rPr>
          <w:noProof/>
          <w:lang w:val="fr-CA"/>
        </w:rPr>
        <w:t>prévoient</w:t>
      </w:r>
      <w:r>
        <w:rPr>
          <w:noProof/>
          <w:lang w:val="fr-CA"/>
        </w:rPr>
        <w:t xml:space="preserve"> que la comparaison d’année en année ne </w:t>
      </w:r>
      <w:r w:rsidR="001C06C3">
        <w:rPr>
          <w:noProof/>
          <w:lang w:val="fr-CA"/>
        </w:rPr>
        <w:t>vise</w:t>
      </w:r>
      <w:r>
        <w:rPr>
          <w:noProof/>
          <w:lang w:val="fr-CA"/>
        </w:rPr>
        <w:t xml:space="preserve"> que les biens fonciers </w:t>
      </w:r>
      <w:r w:rsidR="00881625">
        <w:rPr>
          <w:noProof/>
          <w:lang w:val="fr-CA"/>
        </w:rPr>
        <w:t>n’ayant subi</w:t>
      </w:r>
      <w:r>
        <w:rPr>
          <w:noProof/>
          <w:lang w:val="fr-CA"/>
        </w:rPr>
        <w:t xml:space="preserve"> aucun changement matériel </w:t>
      </w:r>
      <w:r w:rsidR="001276FD">
        <w:rPr>
          <w:noProof/>
          <w:lang w:val="fr-CA"/>
        </w:rPr>
        <w:t>susceptible de modifier leur</w:t>
      </w:r>
      <w:r>
        <w:rPr>
          <w:noProof/>
          <w:lang w:val="fr-CA"/>
        </w:rPr>
        <w:t xml:space="preserve"> valeur imposable. Par exemple, un bien foncier </w:t>
      </w:r>
      <w:r w:rsidR="00672D00">
        <w:rPr>
          <w:noProof/>
          <w:lang w:val="fr-CA"/>
        </w:rPr>
        <w:t xml:space="preserve">qui </w:t>
      </w:r>
      <w:r w:rsidR="001C06C3">
        <w:rPr>
          <w:noProof/>
          <w:lang w:val="fr-CA"/>
        </w:rPr>
        <w:t>fait l’objet</w:t>
      </w:r>
      <w:r>
        <w:rPr>
          <w:noProof/>
          <w:lang w:val="fr-CA"/>
        </w:rPr>
        <w:t xml:space="preserve"> d’une nouvelle construction </w:t>
      </w:r>
      <w:r w:rsidR="001276FD">
        <w:rPr>
          <w:noProof/>
          <w:lang w:val="fr-CA"/>
        </w:rPr>
        <w:t>subir</w:t>
      </w:r>
      <w:r>
        <w:rPr>
          <w:noProof/>
          <w:lang w:val="fr-CA"/>
        </w:rPr>
        <w:t xml:space="preserve">ait une augmentation importante de </w:t>
      </w:r>
      <w:r w:rsidR="00672D00">
        <w:rPr>
          <w:noProof/>
          <w:lang w:val="fr-CA"/>
        </w:rPr>
        <w:t>s</w:t>
      </w:r>
      <w:r>
        <w:rPr>
          <w:noProof/>
          <w:lang w:val="fr-CA"/>
        </w:rPr>
        <w:t>a valeur imposable d’année en année</w:t>
      </w:r>
      <w:r w:rsidR="00C958BC">
        <w:rPr>
          <w:noProof/>
          <w:lang w:val="fr-CA"/>
        </w:rPr>
        <w:t xml:space="preserve"> et</w:t>
      </w:r>
      <w:r w:rsidR="001276FD">
        <w:rPr>
          <w:noProof/>
          <w:lang w:val="fr-CA"/>
        </w:rPr>
        <w:t xml:space="preserve"> </w:t>
      </w:r>
      <w:r w:rsidR="00C958BC">
        <w:rPr>
          <w:noProof/>
          <w:lang w:val="fr-CA"/>
        </w:rPr>
        <w:t>serait</w:t>
      </w:r>
      <w:r w:rsidR="001276FD">
        <w:rPr>
          <w:noProof/>
          <w:lang w:val="fr-CA"/>
        </w:rPr>
        <w:t xml:space="preserve"> ainsi</w:t>
      </w:r>
      <w:r w:rsidR="00C958BC">
        <w:rPr>
          <w:noProof/>
          <w:lang w:val="fr-CA"/>
        </w:rPr>
        <w:t xml:space="preserve"> exclu du calcul du relevé d’impôt moyen.  </w:t>
      </w:r>
    </w:p>
    <w:p w14:paraId="4B4EBD7E" w14:textId="6B6DF393" w:rsidR="00102ED2" w:rsidRPr="00F64114" w:rsidRDefault="00C958BC" w:rsidP="00102ED2">
      <w:pPr>
        <w:pStyle w:val="ListParagraph"/>
        <w:numPr>
          <w:ilvl w:val="0"/>
          <w:numId w:val="14"/>
        </w:numPr>
        <w:rPr>
          <w:noProof/>
          <w:lang w:val="fr-CA"/>
        </w:rPr>
      </w:pPr>
      <w:r>
        <w:rPr>
          <w:noProof/>
          <w:lang w:val="fr-CA"/>
        </w:rPr>
        <w:t xml:space="preserve">À l’heure actuelle, les Normes contiennent une liste des </w:t>
      </w:r>
      <w:r w:rsidR="001C06C3">
        <w:rPr>
          <w:noProof/>
          <w:lang w:val="fr-CA"/>
        </w:rPr>
        <w:t>changements influant sur</w:t>
      </w:r>
      <w:r>
        <w:rPr>
          <w:noProof/>
          <w:lang w:val="fr-CA"/>
        </w:rPr>
        <w:t xml:space="preserve"> la valeur imposable </w:t>
      </w:r>
      <w:r w:rsidR="00FB2AB5">
        <w:rPr>
          <w:noProof/>
          <w:lang w:val="fr-CA"/>
        </w:rPr>
        <w:t xml:space="preserve">d’un bien foncier </w:t>
      </w:r>
      <w:r>
        <w:rPr>
          <w:noProof/>
          <w:lang w:val="fr-CA"/>
        </w:rPr>
        <w:t>qu</w:t>
      </w:r>
      <w:r w:rsidR="00FB2AB5">
        <w:rPr>
          <w:noProof/>
          <w:lang w:val="fr-CA"/>
        </w:rPr>
        <w:t>i doivent être</w:t>
      </w:r>
      <w:r>
        <w:rPr>
          <w:noProof/>
          <w:lang w:val="fr-CA"/>
        </w:rPr>
        <w:t xml:space="preserve"> exclu</w:t>
      </w:r>
      <w:r w:rsidR="00FB2AB5">
        <w:rPr>
          <w:noProof/>
          <w:lang w:val="fr-CA"/>
        </w:rPr>
        <w:t>s</w:t>
      </w:r>
      <w:r>
        <w:rPr>
          <w:noProof/>
          <w:lang w:val="fr-CA"/>
        </w:rPr>
        <w:t xml:space="preserve">, y compris </w:t>
      </w:r>
      <w:r w:rsidR="00FB2AB5">
        <w:rPr>
          <w:noProof/>
          <w:lang w:val="fr-CA"/>
        </w:rPr>
        <w:t>une</w:t>
      </w:r>
      <w:r>
        <w:rPr>
          <w:noProof/>
          <w:lang w:val="fr-CA"/>
        </w:rPr>
        <w:t xml:space="preserve"> nouvelle construction et l’ajout de terres. Les modifications proposées </w:t>
      </w:r>
      <w:r w:rsidR="00FB2AB5">
        <w:rPr>
          <w:noProof/>
          <w:lang w:val="fr-CA"/>
        </w:rPr>
        <w:t xml:space="preserve">visent à </w:t>
      </w:r>
      <w:r>
        <w:rPr>
          <w:noProof/>
          <w:lang w:val="fr-CA"/>
        </w:rPr>
        <w:t xml:space="preserve">ajouter les nouvelles exclusions suivantes : </w:t>
      </w:r>
    </w:p>
    <w:p w14:paraId="0029F30A" w14:textId="11E57F3D" w:rsidR="00102ED2" w:rsidRPr="00F64114" w:rsidRDefault="001C06C3" w:rsidP="00102ED2">
      <w:pPr>
        <w:pStyle w:val="ListParagraph"/>
        <w:numPr>
          <w:ilvl w:val="1"/>
          <w:numId w:val="14"/>
        </w:numPr>
        <w:rPr>
          <w:noProof/>
          <w:lang w:val="fr-CA"/>
        </w:rPr>
      </w:pPr>
      <w:r>
        <w:rPr>
          <w:noProof/>
          <w:lang w:val="fr-CA"/>
        </w:rPr>
        <w:t xml:space="preserve">des </w:t>
      </w:r>
      <w:r w:rsidR="00C958BC">
        <w:rPr>
          <w:noProof/>
          <w:lang w:val="fr-CA"/>
        </w:rPr>
        <w:t>dommages importants causés aux amélioration</w:t>
      </w:r>
      <w:r>
        <w:rPr>
          <w:noProof/>
          <w:lang w:val="fr-CA"/>
        </w:rPr>
        <w:t>s</w:t>
      </w:r>
      <w:r w:rsidR="00C958BC">
        <w:rPr>
          <w:noProof/>
          <w:lang w:val="fr-CA"/>
        </w:rPr>
        <w:t xml:space="preserve"> </w:t>
      </w:r>
      <w:r>
        <w:rPr>
          <w:noProof/>
          <w:lang w:val="fr-CA"/>
        </w:rPr>
        <w:t>et</w:t>
      </w:r>
      <w:r w:rsidR="00C958BC">
        <w:rPr>
          <w:noProof/>
          <w:lang w:val="fr-CA"/>
        </w:rPr>
        <w:t xml:space="preserve"> la destruction d’améliorations, </w:t>
      </w:r>
    </w:p>
    <w:p w14:paraId="163A3951" w14:textId="04123DEF" w:rsidR="00102ED2" w:rsidRPr="00F64114" w:rsidRDefault="001C06C3" w:rsidP="00102ED2">
      <w:pPr>
        <w:pStyle w:val="ListParagraph"/>
        <w:numPr>
          <w:ilvl w:val="1"/>
          <w:numId w:val="14"/>
        </w:numPr>
        <w:rPr>
          <w:noProof/>
          <w:lang w:val="fr-CA"/>
        </w:rPr>
      </w:pPr>
      <w:r w:rsidRPr="001C06C3">
        <w:rPr>
          <w:noProof/>
          <w:lang w:val="fr-CA"/>
        </w:rPr>
        <w:t>le retr</w:t>
      </w:r>
      <w:r w:rsidR="00C958BC" w:rsidRPr="001C06C3">
        <w:rPr>
          <w:noProof/>
          <w:lang w:val="fr-CA"/>
        </w:rPr>
        <w:t>anchement de terres</w:t>
      </w:r>
      <w:r w:rsidR="00C958BC">
        <w:rPr>
          <w:noProof/>
          <w:lang w:val="fr-CA"/>
        </w:rPr>
        <w:t xml:space="preserve"> du bien foncier,</w:t>
      </w:r>
    </w:p>
    <w:p w14:paraId="138C66E6" w14:textId="4BBF399B" w:rsidR="00102ED2" w:rsidRPr="00F64114" w:rsidRDefault="001C06C3" w:rsidP="00102ED2">
      <w:pPr>
        <w:pStyle w:val="ListParagraph"/>
        <w:numPr>
          <w:ilvl w:val="1"/>
          <w:numId w:val="14"/>
        </w:numPr>
        <w:rPr>
          <w:noProof/>
          <w:lang w:val="fr-CA"/>
        </w:rPr>
      </w:pPr>
      <w:r>
        <w:rPr>
          <w:noProof/>
          <w:lang w:val="fr-CA"/>
        </w:rPr>
        <w:t xml:space="preserve">la </w:t>
      </w:r>
      <w:r w:rsidR="00C958BC">
        <w:rPr>
          <w:noProof/>
          <w:lang w:val="fr-CA"/>
        </w:rPr>
        <w:t>perte d’accès au bien foncier.</w:t>
      </w:r>
    </w:p>
    <w:p w14:paraId="52F42B4B" w14:textId="71235905" w:rsidR="00102ED2" w:rsidRPr="00F64114" w:rsidRDefault="00FB2AB5" w:rsidP="00102ED2">
      <w:pPr>
        <w:pStyle w:val="ListParagraph"/>
        <w:numPr>
          <w:ilvl w:val="0"/>
          <w:numId w:val="14"/>
        </w:numPr>
        <w:rPr>
          <w:noProof/>
          <w:lang w:val="fr-CA"/>
        </w:rPr>
      </w:pPr>
      <w:r>
        <w:rPr>
          <w:noProof/>
          <w:lang w:val="fr-CA"/>
        </w:rPr>
        <w:t>L</w:t>
      </w:r>
      <w:r w:rsidR="00C958BC">
        <w:rPr>
          <w:noProof/>
          <w:lang w:val="fr-CA"/>
        </w:rPr>
        <w:t>es modifications assure</w:t>
      </w:r>
      <w:r>
        <w:rPr>
          <w:noProof/>
          <w:lang w:val="fr-CA"/>
        </w:rPr>
        <w:t>ro</w:t>
      </w:r>
      <w:r w:rsidR="00C958BC">
        <w:rPr>
          <w:noProof/>
          <w:lang w:val="fr-CA"/>
        </w:rPr>
        <w:t>nt</w:t>
      </w:r>
      <w:r>
        <w:rPr>
          <w:noProof/>
          <w:lang w:val="fr-CA"/>
        </w:rPr>
        <w:t>, pour le calcul du changement dans le</w:t>
      </w:r>
      <w:r w:rsidR="00C958BC">
        <w:rPr>
          <w:noProof/>
          <w:lang w:val="fr-CA"/>
        </w:rPr>
        <w:t xml:space="preserve"> </w:t>
      </w:r>
      <w:r>
        <w:rPr>
          <w:noProof/>
          <w:lang w:val="fr-CA"/>
        </w:rPr>
        <w:t xml:space="preserve">relevé d’impôt moyen, la prise en compte </w:t>
      </w:r>
      <w:r w:rsidR="00C958BC">
        <w:rPr>
          <w:noProof/>
          <w:lang w:val="fr-CA"/>
        </w:rPr>
        <w:t>des pertes liées aux catastrophes naturelles et aux événements météorologiques importants.</w:t>
      </w:r>
    </w:p>
    <w:p w14:paraId="16EC4E3E" w14:textId="77777777" w:rsidR="00F773DE" w:rsidRPr="00F64114" w:rsidRDefault="00F773DE" w:rsidP="00F773DE">
      <w:pPr>
        <w:rPr>
          <w:noProof/>
          <w:lang w:val="fr-CA"/>
        </w:rPr>
      </w:pPr>
    </w:p>
    <w:p w14:paraId="6C011DFA" w14:textId="173398CD" w:rsidR="00F773DE" w:rsidRPr="00F64114" w:rsidRDefault="00B95E98" w:rsidP="00F773DE">
      <w:pPr>
        <w:rPr>
          <w:noProof/>
          <w:lang w:val="fr-CA"/>
        </w:rPr>
      </w:pPr>
      <w:r>
        <w:rPr>
          <w:noProof/>
          <w:lang w:val="fr-CA"/>
        </w:rPr>
        <w:t>L</w:t>
      </w:r>
      <w:r w:rsidR="00EC30DC">
        <w:rPr>
          <w:noProof/>
          <w:lang w:val="fr-CA"/>
        </w:rPr>
        <w:t>a</w:t>
      </w:r>
      <w:r>
        <w:rPr>
          <w:noProof/>
          <w:lang w:val="fr-CA"/>
        </w:rPr>
        <w:t xml:space="preserve"> modification</w:t>
      </w:r>
      <w:r w:rsidR="00EC30DC">
        <w:rPr>
          <w:noProof/>
          <w:lang w:val="fr-CA"/>
        </w:rPr>
        <w:t xml:space="preserve"> </w:t>
      </w:r>
      <w:r w:rsidR="007B1C70">
        <w:rPr>
          <w:noProof/>
          <w:lang w:val="fr-CA"/>
        </w:rPr>
        <w:t>proposée à</w:t>
      </w:r>
      <w:r w:rsidR="001C06C3">
        <w:rPr>
          <w:noProof/>
          <w:lang w:val="fr-CA"/>
        </w:rPr>
        <w:t xml:space="preserve"> l’article 11 </w:t>
      </w:r>
      <w:r>
        <w:rPr>
          <w:noProof/>
          <w:lang w:val="fr-CA"/>
        </w:rPr>
        <w:t>vise</w:t>
      </w:r>
      <w:r w:rsidR="001C06C3">
        <w:rPr>
          <w:noProof/>
          <w:lang w:val="fr-CA"/>
        </w:rPr>
        <w:t> :</w:t>
      </w:r>
    </w:p>
    <w:p w14:paraId="12ABC468" w14:textId="6973D658" w:rsidR="00F773DE" w:rsidRPr="00F64114" w:rsidRDefault="00FB2AB5" w:rsidP="00F773DE">
      <w:pPr>
        <w:pStyle w:val="ListParagraph"/>
        <w:numPr>
          <w:ilvl w:val="0"/>
          <w:numId w:val="16"/>
        </w:numPr>
        <w:rPr>
          <w:rFonts w:cs="Arial"/>
          <w:noProof/>
          <w:lang w:val="fr-CA"/>
        </w:rPr>
      </w:pPr>
      <w:r>
        <w:rPr>
          <w:rFonts w:cs="Arial"/>
          <w:noProof/>
          <w:lang w:val="fr-CA"/>
        </w:rPr>
        <w:t>À a</w:t>
      </w:r>
      <w:r w:rsidR="001C06C3">
        <w:rPr>
          <w:rFonts w:cs="Arial"/>
          <w:noProof/>
          <w:lang w:val="fr-CA"/>
        </w:rPr>
        <w:t>jouter une troisième</w:t>
      </w:r>
      <w:r w:rsidR="00F773DE" w:rsidRPr="00F64114">
        <w:rPr>
          <w:rFonts w:cs="Arial"/>
          <w:noProof/>
          <w:lang w:val="fr-CA"/>
        </w:rPr>
        <w:t xml:space="preserve"> justification </w:t>
      </w:r>
      <w:r>
        <w:rPr>
          <w:rFonts w:cs="Arial"/>
          <w:noProof/>
          <w:lang w:val="fr-CA"/>
        </w:rPr>
        <w:t xml:space="preserve">en faveur </w:t>
      </w:r>
      <w:r w:rsidR="001C06C3" w:rsidRPr="00003B05">
        <w:rPr>
          <w:w w:val="105"/>
          <w:lang w:val="fr-CA"/>
        </w:rPr>
        <w:t>d</w:t>
      </w:r>
      <w:r w:rsidR="00104F28">
        <w:rPr>
          <w:w w:val="105"/>
          <w:lang w:val="fr-CA"/>
        </w:rPr>
        <w:t>’une a</w:t>
      </w:r>
      <w:r w:rsidR="001C06C3" w:rsidRPr="00003B05">
        <w:rPr>
          <w:w w:val="105"/>
          <w:lang w:val="fr-CA"/>
        </w:rPr>
        <w:t>ugmentation</w:t>
      </w:r>
      <w:r w:rsidR="00104F28">
        <w:rPr>
          <w:w w:val="105"/>
          <w:lang w:val="fr-CA"/>
        </w:rPr>
        <w:t xml:space="preserve"> des</w:t>
      </w:r>
      <w:r w:rsidR="001C06C3" w:rsidRPr="00003B05">
        <w:rPr>
          <w:w w:val="105"/>
          <w:lang w:val="fr-CA"/>
        </w:rPr>
        <w:t xml:space="preserve"> taux d’imposition </w:t>
      </w:r>
      <w:r w:rsidR="00345187">
        <w:rPr>
          <w:w w:val="105"/>
          <w:lang w:val="fr-CA"/>
        </w:rPr>
        <w:t>lors de la</w:t>
      </w:r>
      <w:r w:rsidR="00104F28">
        <w:rPr>
          <w:w w:val="105"/>
          <w:lang w:val="fr-CA"/>
        </w:rPr>
        <w:t xml:space="preserve"> transition vers les taux du territoire de référence</w:t>
      </w:r>
      <w:r w:rsidR="00F773DE" w:rsidRPr="00F64114">
        <w:rPr>
          <w:rFonts w:cs="Arial"/>
          <w:noProof/>
          <w:lang w:val="fr-CA"/>
        </w:rPr>
        <w:t xml:space="preserve">. </w:t>
      </w:r>
    </w:p>
    <w:p w14:paraId="79682A6E" w14:textId="3685C342" w:rsidR="00F773DE" w:rsidRPr="00F64114" w:rsidRDefault="00104F28" w:rsidP="00F773DE">
      <w:pPr>
        <w:pStyle w:val="ListParagraph"/>
        <w:numPr>
          <w:ilvl w:val="0"/>
          <w:numId w:val="16"/>
        </w:numPr>
        <w:rPr>
          <w:rFonts w:cs="Arial"/>
          <w:noProof/>
          <w:lang w:val="fr-CA"/>
        </w:rPr>
      </w:pPr>
      <w:r>
        <w:rPr>
          <w:rFonts w:cs="Arial"/>
          <w:noProof/>
          <w:lang w:val="fr-CA"/>
        </w:rPr>
        <w:t>La Première</w:t>
      </w:r>
      <w:r w:rsidR="00F773DE" w:rsidRPr="00F64114">
        <w:rPr>
          <w:rFonts w:cs="Arial"/>
          <w:noProof/>
          <w:lang w:val="fr-CA"/>
        </w:rPr>
        <w:t xml:space="preserve"> Nation </w:t>
      </w:r>
      <w:r>
        <w:rPr>
          <w:rFonts w:cs="Arial"/>
          <w:noProof/>
          <w:lang w:val="fr-CA"/>
        </w:rPr>
        <w:t xml:space="preserve">qui souhaite </w:t>
      </w:r>
      <w:r w:rsidR="00672D00">
        <w:rPr>
          <w:rFonts w:cs="Arial"/>
          <w:noProof/>
          <w:lang w:val="fr-CA"/>
        </w:rPr>
        <w:t>passer</w:t>
      </w:r>
      <w:r>
        <w:rPr>
          <w:rFonts w:cs="Arial"/>
          <w:noProof/>
          <w:lang w:val="fr-CA"/>
        </w:rPr>
        <w:t xml:space="preserve"> de la fixation de taux fondés sur le budget des dépenses à la fixation de taux identiques à ceux du territoire de référence doit élaborer un plan de transition qui fournit</w:t>
      </w:r>
      <w:r w:rsidRPr="00003B05">
        <w:rPr>
          <w:w w:val="105"/>
          <w:lang w:val="fr-CA"/>
        </w:rPr>
        <w:t xml:space="preserve"> une </w:t>
      </w:r>
      <w:bookmarkStart w:id="0" w:name="_Hlk215164278"/>
      <w:r w:rsidRPr="00003B05">
        <w:rPr>
          <w:w w:val="105"/>
          <w:lang w:val="fr-CA"/>
        </w:rPr>
        <w:t>justification de</w:t>
      </w:r>
      <w:r>
        <w:rPr>
          <w:w w:val="105"/>
          <w:lang w:val="fr-CA"/>
        </w:rPr>
        <w:t xml:space="preserve"> l’</w:t>
      </w:r>
      <w:r w:rsidRPr="00003B05">
        <w:rPr>
          <w:w w:val="105"/>
          <w:lang w:val="fr-CA"/>
        </w:rPr>
        <w:t>augmentation</w:t>
      </w:r>
      <w:r>
        <w:rPr>
          <w:w w:val="105"/>
          <w:lang w:val="fr-CA"/>
        </w:rPr>
        <w:t xml:space="preserve"> des</w:t>
      </w:r>
      <w:r w:rsidRPr="00003B05">
        <w:rPr>
          <w:w w:val="105"/>
          <w:lang w:val="fr-CA"/>
        </w:rPr>
        <w:t xml:space="preserve"> taux d’imposition</w:t>
      </w:r>
      <w:bookmarkEnd w:id="0"/>
      <w:r w:rsidR="00345187">
        <w:rPr>
          <w:w w:val="105"/>
          <w:lang w:val="fr-CA"/>
        </w:rPr>
        <w:t xml:space="preserve"> découlant</w:t>
      </w:r>
      <w:r w:rsidR="00EC30DC">
        <w:rPr>
          <w:w w:val="105"/>
          <w:lang w:val="fr-CA"/>
        </w:rPr>
        <w:t xml:space="preserve"> de cette transition</w:t>
      </w:r>
      <w:r>
        <w:rPr>
          <w:w w:val="105"/>
          <w:lang w:val="fr-CA"/>
        </w:rPr>
        <w:t>;</w:t>
      </w:r>
    </w:p>
    <w:p w14:paraId="69D77F88" w14:textId="44DEBD56" w:rsidR="00F773DE" w:rsidRPr="00F64114" w:rsidRDefault="00104F28" w:rsidP="00F773DE">
      <w:pPr>
        <w:pStyle w:val="ListParagraph"/>
        <w:numPr>
          <w:ilvl w:val="0"/>
          <w:numId w:val="16"/>
        </w:numPr>
        <w:rPr>
          <w:rFonts w:cs="Arial"/>
          <w:noProof/>
          <w:lang w:val="fr-CA"/>
        </w:rPr>
      </w:pPr>
      <w:r>
        <w:rPr>
          <w:rFonts w:cs="Arial"/>
          <w:noProof/>
          <w:lang w:val="fr-CA"/>
        </w:rPr>
        <w:t>Selon la version actuelle des Normes, la</w:t>
      </w:r>
      <w:r w:rsidR="00F773DE" w:rsidRPr="00F64114">
        <w:rPr>
          <w:rFonts w:cs="Arial"/>
          <w:noProof/>
          <w:lang w:val="fr-CA"/>
        </w:rPr>
        <w:t xml:space="preserve"> justification </w:t>
      </w:r>
      <w:r w:rsidR="00EC30DC">
        <w:rPr>
          <w:rFonts w:cs="Arial"/>
          <w:noProof/>
          <w:lang w:val="fr-CA"/>
        </w:rPr>
        <w:t>est</w:t>
      </w:r>
      <w:r>
        <w:rPr>
          <w:rFonts w:cs="Arial"/>
          <w:noProof/>
          <w:lang w:val="fr-CA"/>
        </w:rPr>
        <w:t xml:space="preserve"> soit la prestation d’un niveau plus élevé de services </w:t>
      </w:r>
      <w:r w:rsidR="00DE75B7">
        <w:rPr>
          <w:rFonts w:cs="Arial"/>
          <w:noProof/>
          <w:lang w:val="fr-CA"/>
        </w:rPr>
        <w:t xml:space="preserve">locaux ou la </w:t>
      </w:r>
      <w:r w:rsidR="00DE75B7" w:rsidRPr="00003B05">
        <w:rPr>
          <w:w w:val="105"/>
          <w:lang w:val="fr-CA"/>
        </w:rPr>
        <w:t>construction d’une infrastructure nouvelle ou de remplacement pour les services locaux</w:t>
      </w:r>
      <w:r w:rsidR="00DE75B7">
        <w:rPr>
          <w:w w:val="105"/>
          <w:lang w:val="fr-CA"/>
        </w:rPr>
        <w:t>.</w:t>
      </w:r>
    </w:p>
    <w:p w14:paraId="4E13D978" w14:textId="1EEE6BCA" w:rsidR="00F773DE" w:rsidRPr="00F64114" w:rsidRDefault="00DE75B7" w:rsidP="00F773DE">
      <w:pPr>
        <w:pStyle w:val="ListParagraph"/>
        <w:numPr>
          <w:ilvl w:val="0"/>
          <w:numId w:val="16"/>
        </w:numPr>
        <w:rPr>
          <w:noProof/>
          <w:lang w:val="fr-CA"/>
        </w:rPr>
      </w:pPr>
      <w:r>
        <w:rPr>
          <w:rFonts w:cs="Arial"/>
          <w:noProof/>
          <w:lang w:val="fr-CA"/>
        </w:rPr>
        <w:t>L</w:t>
      </w:r>
      <w:r w:rsidR="00EC30DC">
        <w:rPr>
          <w:rFonts w:cs="Arial"/>
          <w:noProof/>
          <w:lang w:val="fr-CA"/>
        </w:rPr>
        <w:t>a</w:t>
      </w:r>
      <w:r>
        <w:rPr>
          <w:rFonts w:cs="Arial"/>
          <w:noProof/>
          <w:lang w:val="fr-CA"/>
        </w:rPr>
        <w:t xml:space="preserve"> modification proposée ajoute une </w:t>
      </w:r>
      <w:r w:rsidR="00345187">
        <w:rPr>
          <w:rFonts w:cs="Arial"/>
          <w:noProof/>
          <w:lang w:val="fr-CA"/>
        </w:rPr>
        <w:t>troisième</w:t>
      </w:r>
      <w:r w:rsidR="00F773DE" w:rsidRPr="00F64114">
        <w:rPr>
          <w:rFonts w:cs="Arial"/>
          <w:noProof/>
          <w:lang w:val="fr-CA"/>
        </w:rPr>
        <w:t xml:space="preserve"> justification, </w:t>
      </w:r>
      <w:r w:rsidR="00E81DEA">
        <w:rPr>
          <w:rFonts w:cs="Arial"/>
          <w:noProof/>
          <w:lang w:val="fr-CA"/>
        </w:rPr>
        <w:t xml:space="preserve">soit le cas où </w:t>
      </w:r>
      <w:r>
        <w:rPr>
          <w:rFonts w:cs="Arial"/>
          <w:noProof/>
          <w:lang w:val="fr-CA"/>
        </w:rPr>
        <w:t xml:space="preserve">la Première Nation </w:t>
      </w:r>
      <w:r w:rsidR="00E81DEA">
        <w:rPr>
          <w:rFonts w:cs="Arial"/>
          <w:noProof/>
          <w:lang w:val="fr-CA"/>
        </w:rPr>
        <w:t xml:space="preserve">a conclu </w:t>
      </w:r>
      <w:r>
        <w:rPr>
          <w:rFonts w:cs="Arial"/>
          <w:noProof/>
          <w:lang w:val="fr-CA"/>
        </w:rPr>
        <w:t>une entente de services avec le territoire de référence qui prévoit l’application des taux d’imposition de ce</w:t>
      </w:r>
      <w:r w:rsidR="00E81DEA">
        <w:rPr>
          <w:rFonts w:cs="Arial"/>
          <w:noProof/>
          <w:lang w:val="fr-CA"/>
        </w:rPr>
        <w:t xml:space="preserve"> dernier</w:t>
      </w:r>
      <w:r>
        <w:rPr>
          <w:rFonts w:cs="Arial"/>
          <w:noProof/>
          <w:lang w:val="fr-CA"/>
        </w:rPr>
        <w:t>. Selon une telle entente, la Première</w:t>
      </w:r>
      <w:r w:rsidR="00F773DE" w:rsidRPr="00F64114">
        <w:rPr>
          <w:rFonts w:cs="Arial"/>
          <w:noProof/>
          <w:lang w:val="fr-CA"/>
        </w:rPr>
        <w:t xml:space="preserve"> Nation </w:t>
      </w:r>
      <w:r>
        <w:rPr>
          <w:rFonts w:cs="Arial"/>
          <w:noProof/>
          <w:lang w:val="fr-CA"/>
        </w:rPr>
        <w:t xml:space="preserve">verse </w:t>
      </w:r>
      <w:r w:rsidR="00E81DEA">
        <w:rPr>
          <w:rFonts w:cs="Arial"/>
          <w:noProof/>
          <w:lang w:val="fr-CA"/>
        </w:rPr>
        <w:t xml:space="preserve">au territoire de référence </w:t>
      </w:r>
      <w:r w:rsidR="00672D00">
        <w:rPr>
          <w:rFonts w:cs="Arial"/>
          <w:noProof/>
          <w:lang w:val="fr-CA"/>
        </w:rPr>
        <w:t xml:space="preserve">un paiement </w:t>
      </w:r>
      <w:r w:rsidR="00E81DEA">
        <w:rPr>
          <w:rFonts w:cs="Arial"/>
          <w:noProof/>
          <w:lang w:val="fr-CA"/>
        </w:rPr>
        <w:t>pour les services correspondant aux</w:t>
      </w:r>
      <w:r>
        <w:rPr>
          <w:rFonts w:cs="Arial"/>
          <w:noProof/>
          <w:lang w:val="fr-CA"/>
        </w:rPr>
        <w:t xml:space="preserve"> taxes que l’administration locale percevrait de chaque bien foncier si les taux d’imposition d</w:t>
      </w:r>
      <w:r w:rsidR="00E81DEA">
        <w:rPr>
          <w:rFonts w:cs="Arial"/>
          <w:noProof/>
          <w:lang w:val="fr-CA"/>
        </w:rPr>
        <w:t>u</w:t>
      </w:r>
      <w:r>
        <w:rPr>
          <w:rFonts w:cs="Arial"/>
          <w:noProof/>
          <w:lang w:val="fr-CA"/>
        </w:rPr>
        <w:t xml:space="preserve"> territoire</w:t>
      </w:r>
      <w:r w:rsidR="00E81DEA">
        <w:rPr>
          <w:rFonts w:cs="Arial"/>
          <w:noProof/>
          <w:lang w:val="fr-CA"/>
        </w:rPr>
        <w:t xml:space="preserve"> de référence</w:t>
      </w:r>
      <w:r>
        <w:rPr>
          <w:rFonts w:cs="Arial"/>
          <w:noProof/>
          <w:lang w:val="fr-CA"/>
        </w:rPr>
        <w:t xml:space="preserve"> étaient appliqués. </w:t>
      </w:r>
    </w:p>
    <w:p w14:paraId="1F56F82C" w14:textId="5885373D" w:rsidR="00F773DE" w:rsidRPr="00F64114" w:rsidRDefault="00DE75B7" w:rsidP="00F745A7">
      <w:pPr>
        <w:pStyle w:val="BulletPointIndented2ndTierBullets"/>
        <w:numPr>
          <w:ilvl w:val="0"/>
          <w:numId w:val="16"/>
        </w:numPr>
        <w:spacing w:line="240" w:lineRule="auto"/>
        <w:ind w:left="714" w:hanging="357"/>
        <w:rPr>
          <w:rFonts w:ascii="Arial" w:hAnsi="Arial" w:cs="Arial"/>
          <w:noProof/>
          <w:sz w:val="24"/>
          <w:szCs w:val="24"/>
          <w:lang w:val="fr-CA"/>
        </w:rPr>
      </w:pPr>
      <w:r>
        <w:rPr>
          <w:rFonts w:ascii="Arial" w:hAnsi="Arial" w:cs="Arial"/>
          <w:noProof/>
          <w:sz w:val="24"/>
          <w:szCs w:val="24"/>
          <w:lang w:val="fr-CA"/>
        </w:rPr>
        <w:t xml:space="preserve">Cette </w:t>
      </w:r>
      <w:r w:rsidR="00345187">
        <w:rPr>
          <w:rFonts w:ascii="Arial" w:hAnsi="Arial" w:cs="Arial"/>
          <w:noProof/>
          <w:sz w:val="24"/>
          <w:szCs w:val="24"/>
          <w:lang w:val="fr-CA"/>
        </w:rPr>
        <w:t xml:space="preserve">nouvelle </w:t>
      </w:r>
      <w:r w:rsidR="00F773DE" w:rsidRPr="00F64114">
        <w:rPr>
          <w:rFonts w:ascii="Arial" w:hAnsi="Arial" w:cs="Arial"/>
          <w:noProof/>
          <w:sz w:val="24"/>
          <w:szCs w:val="24"/>
          <w:lang w:val="fr-CA"/>
        </w:rPr>
        <w:t xml:space="preserve">justification </w:t>
      </w:r>
      <w:r>
        <w:rPr>
          <w:rFonts w:ascii="Arial" w:hAnsi="Arial" w:cs="Arial"/>
          <w:noProof/>
          <w:sz w:val="24"/>
          <w:szCs w:val="24"/>
          <w:lang w:val="fr-CA"/>
        </w:rPr>
        <w:t>permettra aux Premières</w:t>
      </w:r>
      <w:r w:rsidR="00F773DE" w:rsidRPr="00F64114">
        <w:rPr>
          <w:rFonts w:ascii="Arial" w:hAnsi="Arial" w:cs="Arial"/>
          <w:noProof/>
          <w:sz w:val="24"/>
          <w:szCs w:val="24"/>
          <w:lang w:val="fr-CA"/>
        </w:rPr>
        <w:t xml:space="preserve"> Nations </w:t>
      </w:r>
      <w:r>
        <w:rPr>
          <w:rFonts w:ascii="Arial" w:hAnsi="Arial" w:cs="Arial"/>
          <w:noProof/>
          <w:sz w:val="24"/>
          <w:szCs w:val="24"/>
          <w:lang w:val="fr-CA"/>
        </w:rPr>
        <w:t xml:space="preserve">de faire la transition vers les taux du territoire de référence </w:t>
      </w:r>
      <w:r w:rsidR="00672D00">
        <w:rPr>
          <w:rFonts w:ascii="Arial" w:hAnsi="Arial" w:cs="Arial"/>
          <w:noProof/>
          <w:sz w:val="24"/>
          <w:szCs w:val="24"/>
          <w:lang w:val="fr-CA"/>
        </w:rPr>
        <w:t xml:space="preserve">en </w:t>
      </w:r>
      <w:r>
        <w:rPr>
          <w:rFonts w:ascii="Arial" w:hAnsi="Arial" w:cs="Arial"/>
          <w:noProof/>
          <w:sz w:val="24"/>
          <w:szCs w:val="24"/>
          <w:lang w:val="fr-CA"/>
        </w:rPr>
        <w:t>assur</w:t>
      </w:r>
      <w:r w:rsidR="00672D00">
        <w:rPr>
          <w:rFonts w:ascii="Arial" w:hAnsi="Arial" w:cs="Arial"/>
          <w:noProof/>
          <w:sz w:val="24"/>
          <w:szCs w:val="24"/>
          <w:lang w:val="fr-CA"/>
        </w:rPr>
        <w:t>ant</w:t>
      </w:r>
      <w:r>
        <w:rPr>
          <w:rFonts w:ascii="Arial" w:hAnsi="Arial" w:cs="Arial"/>
          <w:noProof/>
          <w:sz w:val="24"/>
          <w:szCs w:val="24"/>
          <w:lang w:val="fr-CA"/>
        </w:rPr>
        <w:t xml:space="preserve"> la perception de recettes fiscales suffisantes pour payer les coûts des services visés par l’entente de ser</w:t>
      </w:r>
      <w:r w:rsidR="00F773DE" w:rsidRPr="00F64114">
        <w:rPr>
          <w:rFonts w:ascii="Arial" w:hAnsi="Arial" w:cs="Arial"/>
          <w:noProof/>
          <w:sz w:val="24"/>
          <w:szCs w:val="24"/>
          <w:lang w:val="fr-CA"/>
        </w:rPr>
        <w:t>vices</w:t>
      </w:r>
      <w:r>
        <w:rPr>
          <w:rFonts w:ascii="Arial" w:hAnsi="Arial" w:cs="Arial"/>
          <w:noProof/>
          <w:sz w:val="24"/>
          <w:szCs w:val="24"/>
          <w:lang w:val="fr-CA"/>
        </w:rPr>
        <w:t>.</w:t>
      </w:r>
      <w:r w:rsidR="00F773DE" w:rsidRPr="00F64114">
        <w:rPr>
          <w:rFonts w:ascii="Arial" w:hAnsi="Arial" w:cs="Arial"/>
          <w:noProof/>
          <w:sz w:val="24"/>
          <w:szCs w:val="24"/>
          <w:lang w:val="fr-CA"/>
        </w:rPr>
        <w:t xml:space="preserve"> </w:t>
      </w:r>
    </w:p>
    <w:p w14:paraId="76C80C50" w14:textId="77777777" w:rsidR="00F773DE" w:rsidRDefault="00F773DE" w:rsidP="00F773DE">
      <w:pPr>
        <w:pStyle w:val="BulletPointIndented2ndTierBullets"/>
        <w:numPr>
          <w:ilvl w:val="0"/>
          <w:numId w:val="0"/>
        </w:numPr>
        <w:ind w:left="720" w:hanging="360"/>
        <w:rPr>
          <w:rFonts w:ascii="Arial" w:hAnsi="Arial" w:cs="Arial"/>
          <w:noProof/>
          <w:sz w:val="24"/>
          <w:szCs w:val="24"/>
          <w:lang w:val="fr-CA"/>
        </w:rPr>
      </w:pPr>
    </w:p>
    <w:p w14:paraId="001255EE" w14:textId="354E9376" w:rsidR="00C958BC" w:rsidRPr="00A1577B" w:rsidRDefault="00C958BC" w:rsidP="00C958BC">
      <w:pPr>
        <w:rPr>
          <w:lang w:val="fr-CA"/>
        </w:rPr>
      </w:pPr>
      <w:r w:rsidRPr="008063CC">
        <w:rPr>
          <w:lang w:val="fr-CA"/>
        </w:rPr>
        <w:lastRenderedPageBreak/>
        <w:t xml:space="preserve">La CFPN souhaite obtenir les commentaires du public sur les </w:t>
      </w:r>
      <w:r>
        <w:rPr>
          <w:lang w:val="fr-CA"/>
        </w:rPr>
        <w:t xml:space="preserve">modifications </w:t>
      </w:r>
      <w:r w:rsidRPr="008063CC">
        <w:rPr>
          <w:lang w:val="fr-CA"/>
        </w:rPr>
        <w:t>proposées</w:t>
      </w:r>
      <w:r>
        <w:rPr>
          <w:lang w:val="fr-CA"/>
        </w:rPr>
        <w:t xml:space="preserve"> aux Normes</w:t>
      </w:r>
      <w:r w:rsidRPr="008063CC">
        <w:rPr>
          <w:lang w:val="fr-CA"/>
        </w:rPr>
        <w:t xml:space="preserve">. Vous pouvez obtenir la version électronique des </w:t>
      </w:r>
      <w:r>
        <w:rPr>
          <w:lang w:val="fr-CA"/>
        </w:rPr>
        <w:t>n</w:t>
      </w:r>
      <w:r w:rsidRPr="008063CC">
        <w:rPr>
          <w:lang w:val="fr-CA"/>
        </w:rPr>
        <w:t xml:space="preserve">ormes proposées </w:t>
      </w:r>
      <w:r>
        <w:rPr>
          <w:lang w:val="fr-CA"/>
        </w:rPr>
        <w:t>à</w:t>
      </w:r>
      <w:r w:rsidRPr="008063CC">
        <w:rPr>
          <w:lang w:val="fr-CA"/>
        </w:rPr>
        <w:t xml:space="preserve"> </w:t>
      </w:r>
      <w:hyperlink r:id="rId9" w:history="1">
        <w:r w:rsidRPr="00A1577B">
          <w:rPr>
            <w:rStyle w:val="Hyperlink"/>
            <w:lang w:val="fr-CA"/>
          </w:rPr>
          <w:t>www.fntc.ca</w:t>
        </w:r>
      </w:hyperlink>
      <w:r w:rsidRPr="00A1577B">
        <w:rPr>
          <w:lang w:val="fr-CA"/>
        </w:rPr>
        <w:t xml:space="preserve"> o</w:t>
      </w:r>
      <w:r>
        <w:rPr>
          <w:lang w:val="fr-CA"/>
        </w:rPr>
        <w:t>u en cliquant sur le lien ci-après :</w:t>
      </w:r>
    </w:p>
    <w:p w14:paraId="4EA06F83" w14:textId="77777777" w:rsidR="0021552B" w:rsidRPr="00F64114" w:rsidRDefault="0021552B" w:rsidP="0021552B">
      <w:pPr>
        <w:rPr>
          <w:noProof/>
          <w:lang w:val="fr-CA"/>
        </w:rPr>
      </w:pPr>
    </w:p>
    <w:p w14:paraId="13AFC04B" w14:textId="3CE185F8" w:rsidR="005E0BDD" w:rsidRPr="00C958BC" w:rsidRDefault="00345187" w:rsidP="00C958BC">
      <w:pPr>
        <w:jc w:val="center"/>
        <w:rPr>
          <w:i/>
          <w:iCs/>
          <w:noProof/>
          <w:lang w:val="fr-CA"/>
        </w:rPr>
      </w:pPr>
      <w:r>
        <w:rPr>
          <w:i/>
          <w:iCs/>
          <w:noProof/>
          <w:lang w:val="fr-CA"/>
        </w:rPr>
        <w:t xml:space="preserve">Projet de </w:t>
      </w:r>
      <w:r w:rsidR="00C958BC" w:rsidRPr="00C958BC">
        <w:rPr>
          <w:i/>
          <w:iCs/>
          <w:noProof/>
          <w:lang w:val="fr-CA"/>
        </w:rPr>
        <w:t>Normes relatives aux lois annuelles sur les taux d’imposition des premières nations (2017)</w:t>
      </w:r>
    </w:p>
    <w:p w14:paraId="5A2C2040" w14:textId="3252E1DB" w:rsidR="00FF1BCD" w:rsidRPr="00F64114" w:rsidRDefault="00FF1BCD" w:rsidP="00540C62">
      <w:pPr>
        <w:jc w:val="center"/>
        <w:rPr>
          <w:noProof/>
          <w:lang w:val="fr-CA"/>
        </w:rPr>
      </w:pPr>
      <w:r w:rsidRPr="00F64114">
        <w:rPr>
          <w:noProof/>
          <w:lang w:val="fr-CA"/>
        </w:rPr>
        <w:tab/>
      </w:r>
      <w:r w:rsidRPr="00F64114">
        <w:rPr>
          <w:noProof/>
          <w:lang w:val="fr-CA"/>
        </w:rPr>
        <w:tab/>
      </w:r>
    </w:p>
    <w:p w14:paraId="0B0B9531" w14:textId="3B5402D4" w:rsidR="00C958BC" w:rsidRPr="008063CC" w:rsidRDefault="00C958BC" w:rsidP="00C958BC">
      <w:pPr>
        <w:rPr>
          <w:lang w:val="fr-CA"/>
        </w:rPr>
      </w:pPr>
      <w:r w:rsidRPr="008063CC">
        <w:rPr>
          <w:lang w:val="fr-CA"/>
        </w:rPr>
        <w:t xml:space="preserve">Veuillez faire parvenir vos commentaires par écrit au plus tard le </w:t>
      </w:r>
      <w:r>
        <w:rPr>
          <w:lang w:val="fr-CA"/>
        </w:rPr>
        <w:t>9 février</w:t>
      </w:r>
      <w:r w:rsidRPr="008063CC">
        <w:rPr>
          <w:lang w:val="fr-CA"/>
        </w:rPr>
        <w:t xml:space="preserve"> 202</w:t>
      </w:r>
      <w:r>
        <w:rPr>
          <w:lang w:val="fr-CA"/>
        </w:rPr>
        <w:t>6</w:t>
      </w:r>
      <w:r w:rsidRPr="008063CC">
        <w:rPr>
          <w:lang w:val="fr-CA"/>
        </w:rPr>
        <w:t xml:space="preserve"> à l’adresse suivante : </w:t>
      </w:r>
    </w:p>
    <w:p w14:paraId="56671F03" w14:textId="77777777" w:rsidR="00C958BC" w:rsidRPr="00156596" w:rsidRDefault="00C958BC" w:rsidP="00C958BC">
      <w:pPr>
        <w:rPr>
          <w:lang w:val="fr-CA"/>
        </w:rPr>
      </w:pPr>
    </w:p>
    <w:p w14:paraId="4D1DA85B" w14:textId="77777777" w:rsidR="00C958BC" w:rsidRPr="00156596" w:rsidRDefault="00C958BC" w:rsidP="00C958BC">
      <w:pPr>
        <w:rPr>
          <w:lang w:val="fr-CA"/>
        </w:rPr>
      </w:pPr>
    </w:p>
    <w:p w14:paraId="05D084FA" w14:textId="77777777" w:rsidR="00C958BC" w:rsidRPr="008063CC" w:rsidRDefault="00C958BC" w:rsidP="00C958BC">
      <w:pPr>
        <w:jc w:val="center"/>
        <w:rPr>
          <w:rFonts w:cs="Arial"/>
          <w:b/>
          <w:bCs/>
          <w:lang w:val="fr-CA"/>
        </w:rPr>
      </w:pPr>
      <w:r w:rsidRPr="008063CC">
        <w:rPr>
          <w:rFonts w:cs="Arial"/>
          <w:b/>
          <w:bCs/>
          <w:lang w:val="fr-CA"/>
        </w:rPr>
        <w:t>Commission de la fiscalité des premières nations</w:t>
      </w:r>
    </w:p>
    <w:p w14:paraId="3212DD8F" w14:textId="77777777" w:rsidR="00C958BC" w:rsidRDefault="00C958BC" w:rsidP="00C958BC">
      <w:pPr>
        <w:spacing w:line="255" w:lineRule="atLeast"/>
        <w:jc w:val="center"/>
        <w:rPr>
          <w:rFonts w:cs="Arial"/>
          <w:lang w:val="fr-CA"/>
        </w:rPr>
      </w:pPr>
    </w:p>
    <w:p w14:paraId="2B8A1D19" w14:textId="20FD5782" w:rsidR="00C958BC" w:rsidRPr="00884157" w:rsidRDefault="00C958BC" w:rsidP="00C958BC">
      <w:pPr>
        <w:spacing w:line="255" w:lineRule="atLeast"/>
        <w:jc w:val="center"/>
        <w:rPr>
          <w:rFonts w:cs="Arial"/>
        </w:rPr>
      </w:pPr>
      <w:r w:rsidRPr="00884157">
        <w:rPr>
          <w:rFonts w:cs="Arial"/>
        </w:rPr>
        <w:t>345, Chief Alex Thomas Way, bureau 321</w:t>
      </w:r>
    </w:p>
    <w:p w14:paraId="6C8B1D59" w14:textId="77777777" w:rsidR="00C958BC" w:rsidRPr="008063CC" w:rsidRDefault="00C958BC" w:rsidP="00C958BC">
      <w:pPr>
        <w:spacing w:line="255" w:lineRule="atLeast"/>
        <w:jc w:val="center"/>
        <w:rPr>
          <w:rFonts w:cs="Arial"/>
          <w:lang w:val="fr-CA"/>
        </w:rPr>
      </w:pPr>
      <w:r w:rsidRPr="008063CC">
        <w:rPr>
          <w:rFonts w:cs="Arial"/>
          <w:lang w:val="fr-CA"/>
        </w:rPr>
        <w:t>Kamloops (C.-B.)</w:t>
      </w:r>
      <w:r w:rsidRPr="008063CC">
        <w:rPr>
          <w:rFonts w:cs="Arial"/>
          <w:lang w:val="fr-CA"/>
        </w:rPr>
        <w:br/>
        <w:t>V2H 1H1</w:t>
      </w:r>
    </w:p>
    <w:p w14:paraId="2FF1D44C" w14:textId="77777777" w:rsidR="00C958BC" w:rsidRPr="008063CC" w:rsidRDefault="00C958BC" w:rsidP="00C958BC">
      <w:pPr>
        <w:jc w:val="center"/>
        <w:rPr>
          <w:rFonts w:cs="Arial"/>
          <w:lang w:val="fr-CA"/>
        </w:rPr>
      </w:pPr>
      <w:r w:rsidRPr="008063CC">
        <w:rPr>
          <w:rFonts w:cs="Arial"/>
          <w:lang w:val="fr-CA"/>
        </w:rPr>
        <w:t>Téléphone : 250-828-9857</w:t>
      </w:r>
    </w:p>
    <w:p w14:paraId="63BD08B6" w14:textId="77777777" w:rsidR="00C958BC" w:rsidRPr="008063CC" w:rsidRDefault="00C958BC" w:rsidP="00C958BC">
      <w:pPr>
        <w:rPr>
          <w:lang w:val="fr-CA"/>
        </w:rPr>
      </w:pPr>
    </w:p>
    <w:p w14:paraId="66040CC0" w14:textId="77777777" w:rsidR="00C958BC" w:rsidRDefault="00C958BC" w:rsidP="00C958BC">
      <w:pPr>
        <w:jc w:val="center"/>
        <w:rPr>
          <w:color w:val="0000FF"/>
          <w:u w:val="single"/>
          <w:lang w:val="fr-CA"/>
        </w:rPr>
      </w:pPr>
      <w:r w:rsidRPr="008063CC">
        <w:rPr>
          <w:lang w:val="fr-CA"/>
        </w:rPr>
        <w:t xml:space="preserve">Adresse électronique : </w:t>
      </w:r>
      <w:hyperlink r:id="rId10" w:history="1">
        <w:r w:rsidRPr="008063CC">
          <w:rPr>
            <w:color w:val="0000FF"/>
            <w:u w:val="single"/>
            <w:lang w:val="fr-CA"/>
          </w:rPr>
          <w:t>mail@fntc.ca</w:t>
        </w:r>
      </w:hyperlink>
    </w:p>
    <w:p w14:paraId="69DE2086" w14:textId="439A21B2" w:rsidR="00FF1BCD" w:rsidRPr="00F64114" w:rsidRDefault="00B01BFD" w:rsidP="00F65523">
      <w:pPr>
        <w:rPr>
          <w:noProof/>
          <w:lang w:val="fr-CA"/>
        </w:rPr>
      </w:pPr>
      <w:r w:rsidRPr="00F64114">
        <w:rPr>
          <w:noProof/>
          <w:lang w:val="fr-CA"/>
        </w:rPr>
        <w:t>:</w:t>
      </w:r>
      <w:r w:rsidR="00FF1BCD" w:rsidRPr="00F64114">
        <w:rPr>
          <w:noProof/>
          <w:lang w:val="fr-CA"/>
        </w:rPr>
        <w:t xml:space="preserve"> </w:t>
      </w:r>
    </w:p>
    <w:p w14:paraId="09929664" w14:textId="77777777" w:rsidR="00FF1BCD" w:rsidRPr="00F64114" w:rsidRDefault="00FF1BCD" w:rsidP="00F65523">
      <w:pPr>
        <w:rPr>
          <w:noProof/>
          <w:lang w:val="fr-CA"/>
        </w:rPr>
      </w:pPr>
    </w:p>
    <w:sectPr w:rsidR="00FF1BCD" w:rsidRPr="00F64114" w:rsidSect="00173FD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18"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8ECB" w14:textId="77777777" w:rsidR="00BF0771" w:rsidRDefault="00BF0771">
      <w:r>
        <w:separator/>
      </w:r>
    </w:p>
  </w:endnote>
  <w:endnote w:type="continuationSeparator" w:id="0">
    <w:p w14:paraId="45FA5EAC" w14:textId="77777777" w:rsidR="00BF0771" w:rsidRDefault="00BF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223E" w14:textId="77777777" w:rsidR="00D80581" w:rsidRDefault="00D80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9821" w14:textId="77777777" w:rsidR="00D80581" w:rsidRPr="00EA7A46" w:rsidRDefault="00D80581" w:rsidP="00EA7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E4F0" w14:textId="77777777" w:rsidR="00D80581" w:rsidRDefault="00D80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52DA8" w14:textId="77777777" w:rsidR="00BF0771" w:rsidRDefault="00BF0771">
      <w:r>
        <w:separator/>
      </w:r>
    </w:p>
  </w:footnote>
  <w:footnote w:type="continuationSeparator" w:id="0">
    <w:p w14:paraId="61AFBF92" w14:textId="77777777" w:rsidR="00BF0771" w:rsidRDefault="00BF0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89BE" w14:textId="77777777" w:rsidR="00D80581" w:rsidRDefault="00D80581" w:rsidP="003C2DE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BE12B2" w14:textId="77777777" w:rsidR="00D80581" w:rsidRDefault="00D80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E7F1" w14:textId="77777777" w:rsidR="00D80581" w:rsidRDefault="00D80581" w:rsidP="003C2DE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0B5B">
      <w:rPr>
        <w:rStyle w:val="PageNumber"/>
        <w:noProof/>
      </w:rPr>
      <w:t>2</w:t>
    </w:r>
    <w:r>
      <w:rPr>
        <w:rStyle w:val="PageNumber"/>
      </w:rPr>
      <w:fldChar w:fldCharType="end"/>
    </w:r>
  </w:p>
  <w:p w14:paraId="461DBCED" w14:textId="77777777" w:rsidR="00D80581" w:rsidRDefault="00D80581">
    <w:pPr>
      <w:pStyle w:val="Header"/>
    </w:pPr>
  </w:p>
  <w:p w14:paraId="7DE5A8A9" w14:textId="77777777" w:rsidR="00D80581" w:rsidRDefault="00D805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05A0" w14:textId="77777777" w:rsidR="00D80581" w:rsidRDefault="00D80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5E6"/>
    <w:multiLevelType w:val="hybridMultilevel"/>
    <w:tmpl w:val="EDB24B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645C5"/>
    <w:multiLevelType w:val="multilevel"/>
    <w:tmpl w:val="44002AB8"/>
    <w:lvl w:ilvl="0">
      <w:start w:val="1"/>
      <w:numFmt w:val="decimal"/>
      <w:pStyle w:val="standardnumbering"/>
      <w:lvlText w:val="%1."/>
      <w:lvlJc w:val="left"/>
      <w:pPr>
        <w:tabs>
          <w:tab w:val="num" w:pos="432"/>
        </w:tabs>
        <w:ind w:left="0" w:firstLine="0"/>
      </w:pPr>
      <w:rPr>
        <w:rFonts w:hint="default"/>
        <w:b w:val="0"/>
        <w:i w:val="0"/>
        <w:u w:val="none"/>
      </w:rPr>
    </w:lvl>
    <w:lvl w:ilvl="1">
      <w:start w:val="1"/>
      <w:numFmt w:val="decimal"/>
      <w:pStyle w:val="List2"/>
      <w:lvlText w:val="(%2)"/>
      <w:lvlJc w:val="left"/>
      <w:pPr>
        <w:tabs>
          <w:tab w:val="num" w:pos="432"/>
        </w:tabs>
        <w:ind w:left="0" w:firstLine="0"/>
      </w:pPr>
      <w:rPr>
        <w:rFonts w:hint="default"/>
        <w:b/>
        <w:i w:val="0"/>
        <w:u w:val="none"/>
      </w:rPr>
    </w:lvl>
    <w:lvl w:ilvl="2">
      <w:start w:val="1"/>
      <w:numFmt w:val="lowerLetter"/>
      <w:pStyle w:val="List3"/>
      <w:lvlText w:val="(%3)"/>
      <w:lvlJc w:val="left"/>
      <w:pPr>
        <w:tabs>
          <w:tab w:val="num" w:pos="432"/>
        </w:tabs>
        <w:ind w:left="0" w:firstLine="0"/>
      </w:pPr>
      <w:rPr>
        <w:rFonts w:hint="default"/>
        <w:u w:val="none"/>
      </w:rPr>
    </w:lvl>
    <w:lvl w:ilvl="3">
      <w:start w:val="1"/>
      <w:numFmt w:val="lowerRoman"/>
      <w:pStyle w:val="List4"/>
      <w:lvlText w:val="(%4)"/>
      <w:lvlJc w:val="left"/>
      <w:pPr>
        <w:tabs>
          <w:tab w:val="num" w:pos="1440"/>
        </w:tabs>
        <w:ind w:left="1728" w:hanging="288"/>
      </w:pPr>
      <w:rPr>
        <w:rFonts w:hint="default"/>
        <w:u w:val="none"/>
      </w:rPr>
    </w:lvl>
    <w:lvl w:ilvl="4">
      <w:start w:val="1"/>
      <w:numFmt w:val="decimal"/>
      <w:pStyle w:val="List5"/>
      <w:lvlText w:val="(%5)"/>
      <w:lvlJc w:val="left"/>
      <w:pPr>
        <w:tabs>
          <w:tab w:val="num" w:pos="3600"/>
        </w:tabs>
        <w:ind w:left="3600" w:hanging="720"/>
      </w:pPr>
      <w:rPr>
        <w:rFonts w:hint="default"/>
        <w:u w:val="none"/>
      </w:rPr>
    </w:lvl>
    <w:lvl w:ilvl="5">
      <w:start w:val="1"/>
      <w:numFmt w:val="lowerRoman"/>
      <w:lvlText w:val="(%6)"/>
      <w:lvlJc w:val="left"/>
      <w:pPr>
        <w:tabs>
          <w:tab w:val="num" w:pos="4320"/>
        </w:tabs>
        <w:ind w:left="4320" w:hanging="720"/>
      </w:pPr>
      <w:rPr>
        <w:rFonts w:hint="default"/>
        <w:u w:val="none"/>
      </w:rPr>
    </w:lvl>
    <w:lvl w:ilvl="6">
      <w:start w:val="1"/>
      <w:numFmt w:val="decimal"/>
      <w:pStyle w:val="List7"/>
      <w:lvlText w:val="%7."/>
      <w:lvlJc w:val="left"/>
      <w:pPr>
        <w:tabs>
          <w:tab w:val="num" w:pos="5040"/>
        </w:tabs>
        <w:ind w:left="5040" w:hanging="720"/>
      </w:pPr>
      <w:rPr>
        <w:rFonts w:hint="default"/>
        <w:u w:val="none"/>
      </w:rPr>
    </w:lvl>
    <w:lvl w:ilvl="7">
      <w:start w:val="1"/>
      <w:numFmt w:val="lowerLetter"/>
      <w:pStyle w:val="List8"/>
      <w:lvlText w:val="%8."/>
      <w:lvlJc w:val="left"/>
      <w:pPr>
        <w:tabs>
          <w:tab w:val="num" w:pos="5760"/>
        </w:tabs>
        <w:ind w:left="5760" w:hanging="720"/>
      </w:pPr>
      <w:rPr>
        <w:rFonts w:hint="default"/>
        <w:u w:val="none"/>
      </w:rPr>
    </w:lvl>
    <w:lvl w:ilvl="8">
      <w:start w:val="1"/>
      <w:numFmt w:val="lowerRoman"/>
      <w:lvlText w:val="%9."/>
      <w:lvlJc w:val="left"/>
      <w:pPr>
        <w:tabs>
          <w:tab w:val="num" w:pos="6480"/>
        </w:tabs>
        <w:ind w:left="6480" w:hanging="720"/>
      </w:pPr>
      <w:rPr>
        <w:rFonts w:hint="default"/>
        <w:u w:val="none"/>
      </w:rPr>
    </w:lvl>
  </w:abstractNum>
  <w:abstractNum w:abstractNumId="2" w15:restartNumberingAfterBreak="0">
    <w:nsid w:val="085D01C4"/>
    <w:multiLevelType w:val="hybridMultilevel"/>
    <w:tmpl w:val="9F7A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60312"/>
    <w:multiLevelType w:val="hybridMultilevel"/>
    <w:tmpl w:val="A61C22B0"/>
    <w:lvl w:ilvl="0" w:tplc="194E1244">
      <w:start w:val="1"/>
      <w:numFmt w:val="bullet"/>
      <w:pStyle w:val="BulletPointIndented2ndTier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363BE"/>
    <w:multiLevelType w:val="hybridMultilevel"/>
    <w:tmpl w:val="7644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90E6D"/>
    <w:multiLevelType w:val="hybridMultilevel"/>
    <w:tmpl w:val="23723FE2"/>
    <w:lvl w:ilvl="0" w:tplc="3A565B5A">
      <w:numFmt w:val="bullet"/>
      <w:lvlText w:val=""/>
      <w:lvlJc w:val="left"/>
      <w:pPr>
        <w:ind w:left="1080" w:hanging="72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F4F9F"/>
    <w:multiLevelType w:val="hybridMultilevel"/>
    <w:tmpl w:val="AD90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E2A1E"/>
    <w:multiLevelType w:val="hybridMultilevel"/>
    <w:tmpl w:val="9752A8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AF6363"/>
    <w:multiLevelType w:val="hybridMultilevel"/>
    <w:tmpl w:val="52C85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E4B6C"/>
    <w:multiLevelType w:val="hybridMultilevel"/>
    <w:tmpl w:val="75F8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5F0E91"/>
    <w:multiLevelType w:val="hybridMultilevel"/>
    <w:tmpl w:val="E418071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B17AAD"/>
    <w:multiLevelType w:val="hybridMultilevel"/>
    <w:tmpl w:val="BD38B872"/>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4760855"/>
    <w:multiLevelType w:val="hybridMultilevel"/>
    <w:tmpl w:val="B330D2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A33C7D"/>
    <w:multiLevelType w:val="hybridMultilevel"/>
    <w:tmpl w:val="7FAA1F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033B5A"/>
    <w:multiLevelType w:val="hybridMultilevel"/>
    <w:tmpl w:val="718A2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71C9F"/>
    <w:multiLevelType w:val="hybridMultilevel"/>
    <w:tmpl w:val="518C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53071"/>
    <w:multiLevelType w:val="hybridMultilevel"/>
    <w:tmpl w:val="C34E1C4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9221553">
    <w:abstractNumId w:val="7"/>
  </w:num>
  <w:num w:numId="2" w16cid:durableId="1934700185">
    <w:abstractNumId w:val="11"/>
  </w:num>
  <w:num w:numId="3" w16cid:durableId="950163315">
    <w:abstractNumId w:val="1"/>
  </w:num>
  <w:num w:numId="4" w16cid:durableId="299577940">
    <w:abstractNumId w:val="0"/>
  </w:num>
  <w:num w:numId="5" w16cid:durableId="405304961">
    <w:abstractNumId w:val="16"/>
  </w:num>
  <w:num w:numId="6" w16cid:durableId="2014720947">
    <w:abstractNumId w:val="9"/>
  </w:num>
  <w:num w:numId="7" w16cid:durableId="1773284159">
    <w:abstractNumId w:val="6"/>
  </w:num>
  <w:num w:numId="8" w16cid:durableId="958951394">
    <w:abstractNumId w:val="15"/>
  </w:num>
  <w:num w:numId="9" w16cid:durableId="1212694000">
    <w:abstractNumId w:val="5"/>
  </w:num>
  <w:num w:numId="10" w16cid:durableId="1412435432">
    <w:abstractNumId w:val="13"/>
  </w:num>
  <w:num w:numId="11" w16cid:durableId="1987926654">
    <w:abstractNumId w:val="10"/>
  </w:num>
  <w:num w:numId="12" w16cid:durableId="620573850">
    <w:abstractNumId w:val="3"/>
  </w:num>
  <w:num w:numId="13" w16cid:durableId="20515087">
    <w:abstractNumId w:val="8"/>
  </w:num>
  <w:num w:numId="14" w16cid:durableId="980156674">
    <w:abstractNumId w:val="14"/>
  </w:num>
  <w:num w:numId="15" w16cid:durableId="633603040">
    <w:abstractNumId w:val="12"/>
  </w:num>
  <w:num w:numId="16" w16cid:durableId="1387726831">
    <w:abstractNumId w:val="2"/>
  </w:num>
  <w:num w:numId="17" w16cid:durableId="1935816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6"/>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92"/>
    <w:rsid w:val="00027055"/>
    <w:rsid w:val="00031773"/>
    <w:rsid w:val="000321E6"/>
    <w:rsid w:val="000530D2"/>
    <w:rsid w:val="00057C4C"/>
    <w:rsid w:val="00066861"/>
    <w:rsid w:val="000A2925"/>
    <w:rsid w:val="000A46DC"/>
    <w:rsid w:val="000B0B87"/>
    <w:rsid w:val="000B3149"/>
    <w:rsid w:val="000D6A15"/>
    <w:rsid w:val="000E63C5"/>
    <w:rsid w:val="000F31C5"/>
    <w:rsid w:val="000F6868"/>
    <w:rsid w:val="00101858"/>
    <w:rsid w:val="00102ED2"/>
    <w:rsid w:val="00104F28"/>
    <w:rsid w:val="001144A6"/>
    <w:rsid w:val="00115A50"/>
    <w:rsid w:val="001276FD"/>
    <w:rsid w:val="00131040"/>
    <w:rsid w:val="001711EB"/>
    <w:rsid w:val="00173FD9"/>
    <w:rsid w:val="00193745"/>
    <w:rsid w:val="001A299E"/>
    <w:rsid w:val="001A5D6B"/>
    <w:rsid w:val="001B25FD"/>
    <w:rsid w:val="001C06C3"/>
    <w:rsid w:val="001D1744"/>
    <w:rsid w:val="001D44BA"/>
    <w:rsid w:val="001D4792"/>
    <w:rsid w:val="001D6579"/>
    <w:rsid w:val="001E341D"/>
    <w:rsid w:val="00205676"/>
    <w:rsid w:val="00205A63"/>
    <w:rsid w:val="0021108C"/>
    <w:rsid w:val="00211274"/>
    <w:rsid w:val="00211842"/>
    <w:rsid w:val="0021552B"/>
    <w:rsid w:val="00217B13"/>
    <w:rsid w:val="002349E5"/>
    <w:rsid w:val="0023781C"/>
    <w:rsid w:val="00243467"/>
    <w:rsid w:val="0025421A"/>
    <w:rsid w:val="002571B4"/>
    <w:rsid w:val="002600CF"/>
    <w:rsid w:val="00280DBA"/>
    <w:rsid w:val="00282EA0"/>
    <w:rsid w:val="00283C97"/>
    <w:rsid w:val="00293C41"/>
    <w:rsid w:val="0029720E"/>
    <w:rsid w:val="002B4A1F"/>
    <w:rsid w:val="002E717E"/>
    <w:rsid w:val="002F07B6"/>
    <w:rsid w:val="00304455"/>
    <w:rsid w:val="00305A62"/>
    <w:rsid w:val="00310FB9"/>
    <w:rsid w:val="00343F82"/>
    <w:rsid w:val="00345187"/>
    <w:rsid w:val="003503F2"/>
    <w:rsid w:val="00350B98"/>
    <w:rsid w:val="00363248"/>
    <w:rsid w:val="003633F7"/>
    <w:rsid w:val="00381777"/>
    <w:rsid w:val="00395078"/>
    <w:rsid w:val="00395A43"/>
    <w:rsid w:val="003A18FA"/>
    <w:rsid w:val="003A22D1"/>
    <w:rsid w:val="003B0DBF"/>
    <w:rsid w:val="003C08EC"/>
    <w:rsid w:val="003C239A"/>
    <w:rsid w:val="003C2DE1"/>
    <w:rsid w:val="003D0E3A"/>
    <w:rsid w:val="003E16AE"/>
    <w:rsid w:val="003F1BEC"/>
    <w:rsid w:val="003F38EB"/>
    <w:rsid w:val="003F5103"/>
    <w:rsid w:val="00426960"/>
    <w:rsid w:val="00436CF4"/>
    <w:rsid w:val="00461594"/>
    <w:rsid w:val="00461FB0"/>
    <w:rsid w:val="00462FE8"/>
    <w:rsid w:val="00474DC2"/>
    <w:rsid w:val="0048039F"/>
    <w:rsid w:val="00481CF7"/>
    <w:rsid w:val="0049308B"/>
    <w:rsid w:val="0049480D"/>
    <w:rsid w:val="004B1F0A"/>
    <w:rsid w:val="004C00F8"/>
    <w:rsid w:val="004C4B28"/>
    <w:rsid w:val="004E2FCA"/>
    <w:rsid w:val="004E7C9D"/>
    <w:rsid w:val="004F06EC"/>
    <w:rsid w:val="004F28E5"/>
    <w:rsid w:val="00502156"/>
    <w:rsid w:val="005042EC"/>
    <w:rsid w:val="00504FF3"/>
    <w:rsid w:val="00512B01"/>
    <w:rsid w:val="00521545"/>
    <w:rsid w:val="005219DC"/>
    <w:rsid w:val="005365F8"/>
    <w:rsid w:val="00540C62"/>
    <w:rsid w:val="00541A12"/>
    <w:rsid w:val="005672FB"/>
    <w:rsid w:val="005811A6"/>
    <w:rsid w:val="005901BE"/>
    <w:rsid w:val="00590B5B"/>
    <w:rsid w:val="005940E3"/>
    <w:rsid w:val="005A2538"/>
    <w:rsid w:val="005A7B0B"/>
    <w:rsid w:val="005B42EA"/>
    <w:rsid w:val="005B4F1C"/>
    <w:rsid w:val="005C092C"/>
    <w:rsid w:val="005C1AD7"/>
    <w:rsid w:val="005C41C6"/>
    <w:rsid w:val="005C45A0"/>
    <w:rsid w:val="005D3D9F"/>
    <w:rsid w:val="005D5036"/>
    <w:rsid w:val="005D7838"/>
    <w:rsid w:val="005E0BDD"/>
    <w:rsid w:val="005E108B"/>
    <w:rsid w:val="005E620B"/>
    <w:rsid w:val="005F6EBA"/>
    <w:rsid w:val="006211A0"/>
    <w:rsid w:val="00625D72"/>
    <w:rsid w:val="00627844"/>
    <w:rsid w:val="006327C4"/>
    <w:rsid w:val="00636C7C"/>
    <w:rsid w:val="00642D81"/>
    <w:rsid w:val="00654818"/>
    <w:rsid w:val="0065733F"/>
    <w:rsid w:val="00670DA0"/>
    <w:rsid w:val="00672D00"/>
    <w:rsid w:val="00694989"/>
    <w:rsid w:val="00697F7A"/>
    <w:rsid w:val="006A4C48"/>
    <w:rsid w:val="006B38C1"/>
    <w:rsid w:val="006C1E9A"/>
    <w:rsid w:val="006C3F69"/>
    <w:rsid w:val="006E1D3B"/>
    <w:rsid w:val="006E747C"/>
    <w:rsid w:val="00702898"/>
    <w:rsid w:val="00710322"/>
    <w:rsid w:val="00725AA3"/>
    <w:rsid w:val="00730CD8"/>
    <w:rsid w:val="00735847"/>
    <w:rsid w:val="00741AE2"/>
    <w:rsid w:val="00770236"/>
    <w:rsid w:val="00781BAA"/>
    <w:rsid w:val="00794A12"/>
    <w:rsid w:val="007B1C70"/>
    <w:rsid w:val="007B6F47"/>
    <w:rsid w:val="007C03FF"/>
    <w:rsid w:val="007D6D9D"/>
    <w:rsid w:val="007E5719"/>
    <w:rsid w:val="007F1A88"/>
    <w:rsid w:val="008101D7"/>
    <w:rsid w:val="00810CB9"/>
    <w:rsid w:val="00813C53"/>
    <w:rsid w:val="00822E4B"/>
    <w:rsid w:val="008239A7"/>
    <w:rsid w:val="00830AB0"/>
    <w:rsid w:val="00842B72"/>
    <w:rsid w:val="008550A1"/>
    <w:rsid w:val="008611E0"/>
    <w:rsid w:val="00861F1D"/>
    <w:rsid w:val="00872390"/>
    <w:rsid w:val="00881625"/>
    <w:rsid w:val="00884157"/>
    <w:rsid w:val="00887F08"/>
    <w:rsid w:val="00890733"/>
    <w:rsid w:val="00890C2C"/>
    <w:rsid w:val="008D17C6"/>
    <w:rsid w:val="008F232B"/>
    <w:rsid w:val="008F6554"/>
    <w:rsid w:val="0090260F"/>
    <w:rsid w:val="009030D7"/>
    <w:rsid w:val="0095165E"/>
    <w:rsid w:val="00955409"/>
    <w:rsid w:val="0096070B"/>
    <w:rsid w:val="009647C0"/>
    <w:rsid w:val="00964843"/>
    <w:rsid w:val="00973D98"/>
    <w:rsid w:val="00976F2C"/>
    <w:rsid w:val="00981922"/>
    <w:rsid w:val="00983A5D"/>
    <w:rsid w:val="009A3F22"/>
    <w:rsid w:val="009B267D"/>
    <w:rsid w:val="009C176A"/>
    <w:rsid w:val="009D0057"/>
    <w:rsid w:val="009D15D4"/>
    <w:rsid w:val="009D4ADA"/>
    <w:rsid w:val="009D4F0B"/>
    <w:rsid w:val="009E3116"/>
    <w:rsid w:val="009F038C"/>
    <w:rsid w:val="00A05DF0"/>
    <w:rsid w:val="00A2161D"/>
    <w:rsid w:val="00A26D6E"/>
    <w:rsid w:val="00A46704"/>
    <w:rsid w:val="00A57DBC"/>
    <w:rsid w:val="00A61709"/>
    <w:rsid w:val="00A82840"/>
    <w:rsid w:val="00A852CF"/>
    <w:rsid w:val="00A92429"/>
    <w:rsid w:val="00AA6072"/>
    <w:rsid w:val="00AA78E5"/>
    <w:rsid w:val="00AB2E02"/>
    <w:rsid w:val="00AD0ABA"/>
    <w:rsid w:val="00AE45C1"/>
    <w:rsid w:val="00AE6D97"/>
    <w:rsid w:val="00AF37AD"/>
    <w:rsid w:val="00B01BFD"/>
    <w:rsid w:val="00B22565"/>
    <w:rsid w:val="00B32250"/>
    <w:rsid w:val="00B32359"/>
    <w:rsid w:val="00B50074"/>
    <w:rsid w:val="00B77EE1"/>
    <w:rsid w:val="00B85202"/>
    <w:rsid w:val="00B95E98"/>
    <w:rsid w:val="00B96AB1"/>
    <w:rsid w:val="00BB2B41"/>
    <w:rsid w:val="00BB3684"/>
    <w:rsid w:val="00BB61FB"/>
    <w:rsid w:val="00BC72AB"/>
    <w:rsid w:val="00BD013E"/>
    <w:rsid w:val="00BD66AF"/>
    <w:rsid w:val="00BD690C"/>
    <w:rsid w:val="00BE2EB5"/>
    <w:rsid w:val="00BE4C5D"/>
    <w:rsid w:val="00BF0771"/>
    <w:rsid w:val="00BF26F3"/>
    <w:rsid w:val="00C12E0E"/>
    <w:rsid w:val="00C526E3"/>
    <w:rsid w:val="00C70AB5"/>
    <w:rsid w:val="00C748E9"/>
    <w:rsid w:val="00C75B42"/>
    <w:rsid w:val="00C8050F"/>
    <w:rsid w:val="00C84254"/>
    <w:rsid w:val="00C94A4B"/>
    <w:rsid w:val="00C958BC"/>
    <w:rsid w:val="00C96237"/>
    <w:rsid w:val="00CA2B7B"/>
    <w:rsid w:val="00CB04CD"/>
    <w:rsid w:val="00CC1118"/>
    <w:rsid w:val="00CC3ADF"/>
    <w:rsid w:val="00CC4488"/>
    <w:rsid w:val="00CC5F9B"/>
    <w:rsid w:val="00CD50F5"/>
    <w:rsid w:val="00CE3D6D"/>
    <w:rsid w:val="00CE5762"/>
    <w:rsid w:val="00CF0A0F"/>
    <w:rsid w:val="00D10425"/>
    <w:rsid w:val="00D16F60"/>
    <w:rsid w:val="00D2084E"/>
    <w:rsid w:val="00D30CBB"/>
    <w:rsid w:val="00D35F8F"/>
    <w:rsid w:val="00D410AB"/>
    <w:rsid w:val="00D442B3"/>
    <w:rsid w:val="00D47F17"/>
    <w:rsid w:val="00D5155B"/>
    <w:rsid w:val="00D70922"/>
    <w:rsid w:val="00D7272B"/>
    <w:rsid w:val="00D76EA2"/>
    <w:rsid w:val="00D80581"/>
    <w:rsid w:val="00D8350C"/>
    <w:rsid w:val="00D836EE"/>
    <w:rsid w:val="00D9671D"/>
    <w:rsid w:val="00DA7C8F"/>
    <w:rsid w:val="00DB30B5"/>
    <w:rsid w:val="00DB412A"/>
    <w:rsid w:val="00DC35B3"/>
    <w:rsid w:val="00DE173B"/>
    <w:rsid w:val="00DE75B7"/>
    <w:rsid w:val="00E025DD"/>
    <w:rsid w:val="00E165E0"/>
    <w:rsid w:val="00E2250E"/>
    <w:rsid w:val="00E23057"/>
    <w:rsid w:val="00E2541F"/>
    <w:rsid w:val="00E477F1"/>
    <w:rsid w:val="00E52149"/>
    <w:rsid w:val="00E55215"/>
    <w:rsid w:val="00E67C79"/>
    <w:rsid w:val="00E7636A"/>
    <w:rsid w:val="00E76E3A"/>
    <w:rsid w:val="00E81DEA"/>
    <w:rsid w:val="00E85395"/>
    <w:rsid w:val="00E963CD"/>
    <w:rsid w:val="00EA0DAB"/>
    <w:rsid w:val="00EA2BCD"/>
    <w:rsid w:val="00EA7A46"/>
    <w:rsid w:val="00EB036D"/>
    <w:rsid w:val="00EC30DC"/>
    <w:rsid w:val="00EC696A"/>
    <w:rsid w:val="00ED1410"/>
    <w:rsid w:val="00ED5138"/>
    <w:rsid w:val="00ED5AD7"/>
    <w:rsid w:val="00EE2B59"/>
    <w:rsid w:val="00F00336"/>
    <w:rsid w:val="00F01675"/>
    <w:rsid w:val="00F06C3E"/>
    <w:rsid w:val="00F10DD5"/>
    <w:rsid w:val="00F3483A"/>
    <w:rsid w:val="00F4269A"/>
    <w:rsid w:val="00F63836"/>
    <w:rsid w:val="00F63FAD"/>
    <w:rsid w:val="00F64114"/>
    <w:rsid w:val="00F65523"/>
    <w:rsid w:val="00F745A7"/>
    <w:rsid w:val="00F773DE"/>
    <w:rsid w:val="00F975E2"/>
    <w:rsid w:val="00FA1C16"/>
    <w:rsid w:val="00FA3829"/>
    <w:rsid w:val="00FA4CDA"/>
    <w:rsid w:val="00FA5332"/>
    <w:rsid w:val="00FB177A"/>
    <w:rsid w:val="00FB2AB5"/>
    <w:rsid w:val="00FC086A"/>
    <w:rsid w:val="00FC640C"/>
    <w:rsid w:val="00FD7E08"/>
    <w:rsid w:val="00FE1C13"/>
    <w:rsid w:val="00FE2610"/>
    <w:rsid w:val="00FF0D36"/>
    <w:rsid w:val="00FF1BCD"/>
    <w:rsid w:val="00FF520F"/>
    <w:rsid w:val="00FF6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776D75"/>
  <w15:docId w15:val="{CA731692-49FF-4DC8-B235-9FFBD7F1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350C"/>
    <w:pPr>
      <w:tabs>
        <w:tab w:val="center" w:pos="4320"/>
        <w:tab w:val="right" w:pos="8640"/>
      </w:tabs>
    </w:pPr>
  </w:style>
  <w:style w:type="paragraph" w:styleId="Footer">
    <w:name w:val="footer"/>
    <w:basedOn w:val="Normal"/>
    <w:rsid w:val="00D8350C"/>
    <w:pPr>
      <w:tabs>
        <w:tab w:val="center" w:pos="4320"/>
        <w:tab w:val="right" w:pos="8640"/>
      </w:tabs>
    </w:pPr>
  </w:style>
  <w:style w:type="table" w:styleId="TableGrid">
    <w:name w:val="Table Grid"/>
    <w:basedOn w:val="TableNormal"/>
    <w:rsid w:val="00D83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70AB5"/>
    <w:rPr>
      <w:rFonts w:ascii="Tahoma" w:hAnsi="Tahoma" w:cs="Tahoma"/>
      <w:sz w:val="16"/>
      <w:szCs w:val="16"/>
    </w:rPr>
  </w:style>
  <w:style w:type="character" w:styleId="PageNumber">
    <w:name w:val="page number"/>
    <w:basedOn w:val="DefaultParagraphFont"/>
    <w:rsid w:val="00EE2B59"/>
  </w:style>
  <w:style w:type="paragraph" w:customStyle="1" w:styleId="standardnumbering">
    <w:name w:val="standard numbering"/>
    <w:basedOn w:val="Normal"/>
    <w:rsid w:val="00AD0ABA"/>
    <w:pPr>
      <w:numPr>
        <w:numId w:val="3"/>
      </w:numPr>
    </w:pPr>
    <w:rPr>
      <w:rFonts w:ascii="Times New Roman" w:hAnsi="Times New Roman"/>
      <w:szCs w:val="20"/>
    </w:rPr>
  </w:style>
  <w:style w:type="paragraph" w:styleId="List2">
    <w:name w:val="List 2"/>
    <w:basedOn w:val="Normal"/>
    <w:rsid w:val="00AD0ABA"/>
    <w:pPr>
      <w:numPr>
        <w:ilvl w:val="1"/>
        <w:numId w:val="3"/>
      </w:numPr>
    </w:pPr>
    <w:rPr>
      <w:rFonts w:ascii="Times New Roman" w:hAnsi="Times New Roman"/>
      <w:szCs w:val="20"/>
    </w:rPr>
  </w:style>
  <w:style w:type="paragraph" w:styleId="List3">
    <w:name w:val="List 3"/>
    <w:basedOn w:val="Normal"/>
    <w:rsid w:val="00AD0ABA"/>
    <w:pPr>
      <w:numPr>
        <w:ilvl w:val="2"/>
        <w:numId w:val="3"/>
      </w:numPr>
    </w:pPr>
    <w:rPr>
      <w:rFonts w:ascii="Times New Roman" w:hAnsi="Times New Roman"/>
      <w:szCs w:val="20"/>
    </w:rPr>
  </w:style>
  <w:style w:type="paragraph" w:styleId="List4">
    <w:name w:val="List 4"/>
    <w:basedOn w:val="Normal"/>
    <w:rsid w:val="00AD0ABA"/>
    <w:pPr>
      <w:numPr>
        <w:ilvl w:val="3"/>
        <w:numId w:val="3"/>
      </w:numPr>
    </w:pPr>
    <w:rPr>
      <w:rFonts w:ascii="Times New Roman" w:hAnsi="Times New Roman"/>
      <w:szCs w:val="20"/>
    </w:rPr>
  </w:style>
  <w:style w:type="paragraph" w:styleId="List5">
    <w:name w:val="List 5"/>
    <w:basedOn w:val="Normal"/>
    <w:rsid w:val="00AD0ABA"/>
    <w:pPr>
      <w:numPr>
        <w:ilvl w:val="4"/>
        <w:numId w:val="3"/>
      </w:numPr>
    </w:pPr>
    <w:rPr>
      <w:rFonts w:ascii="Times New Roman" w:hAnsi="Times New Roman"/>
      <w:szCs w:val="20"/>
    </w:rPr>
  </w:style>
  <w:style w:type="paragraph" w:customStyle="1" w:styleId="List7">
    <w:name w:val="List 7"/>
    <w:basedOn w:val="Normal"/>
    <w:rsid w:val="00AD0ABA"/>
    <w:pPr>
      <w:numPr>
        <w:ilvl w:val="6"/>
        <w:numId w:val="3"/>
      </w:numPr>
    </w:pPr>
    <w:rPr>
      <w:rFonts w:ascii="Times New Roman" w:hAnsi="Times New Roman"/>
      <w:szCs w:val="20"/>
    </w:rPr>
  </w:style>
  <w:style w:type="paragraph" w:customStyle="1" w:styleId="List8">
    <w:name w:val="List 8"/>
    <w:basedOn w:val="Normal"/>
    <w:rsid w:val="00AD0ABA"/>
    <w:pPr>
      <w:numPr>
        <w:ilvl w:val="7"/>
        <w:numId w:val="3"/>
      </w:numPr>
    </w:pPr>
    <w:rPr>
      <w:rFonts w:ascii="Times New Roman" w:hAnsi="Times New Roman"/>
      <w:szCs w:val="20"/>
    </w:rPr>
  </w:style>
  <w:style w:type="character" w:styleId="Hyperlink">
    <w:name w:val="Hyperlink"/>
    <w:rsid w:val="00B01BFD"/>
    <w:rPr>
      <w:color w:val="0000FF"/>
      <w:u w:val="single"/>
    </w:rPr>
  </w:style>
  <w:style w:type="paragraph" w:styleId="ListParagraph">
    <w:name w:val="List Paragraph"/>
    <w:basedOn w:val="Normal"/>
    <w:uiPriority w:val="34"/>
    <w:qFormat/>
    <w:rsid w:val="007D6D9D"/>
    <w:pPr>
      <w:ind w:left="720"/>
      <w:contextualSpacing/>
    </w:pPr>
  </w:style>
  <w:style w:type="character" w:styleId="CommentReference">
    <w:name w:val="annotation reference"/>
    <w:basedOn w:val="DefaultParagraphFont"/>
    <w:rsid w:val="005E620B"/>
    <w:rPr>
      <w:sz w:val="16"/>
      <w:szCs w:val="16"/>
    </w:rPr>
  </w:style>
  <w:style w:type="paragraph" w:styleId="CommentText">
    <w:name w:val="annotation text"/>
    <w:basedOn w:val="Normal"/>
    <w:link w:val="CommentTextChar"/>
    <w:rsid w:val="005E620B"/>
    <w:rPr>
      <w:sz w:val="20"/>
      <w:szCs w:val="20"/>
    </w:rPr>
  </w:style>
  <w:style w:type="character" w:customStyle="1" w:styleId="CommentTextChar">
    <w:name w:val="Comment Text Char"/>
    <w:basedOn w:val="DefaultParagraphFont"/>
    <w:link w:val="CommentText"/>
    <w:rsid w:val="005E620B"/>
    <w:rPr>
      <w:rFonts w:ascii="Arial" w:hAnsi="Arial"/>
    </w:rPr>
  </w:style>
  <w:style w:type="paragraph" w:styleId="CommentSubject">
    <w:name w:val="annotation subject"/>
    <w:basedOn w:val="CommentText"/>
    <w:next w:val="CommentText"/>
    <w:link w:val="CommentSubjectChar"/>
    <w:rsid w:val="005E620B"/>
    <w:rPr>
      <w:b/>
      <w:bCs/>
    </w:rPr>
  </w:style>
  <w:style w:type="character" w:customStyle="1" w:styleId="CommentSubjectChar">
    <w:name w:val="Comment Subject Char"/>
    <w:basedOn w:val="CommentTextChar"/>
    <w:link w:val="CommentSubject"/>
    <w:rsid w:val="005E620B"/>
    <w:rPr>
      <w:rFonts w:ascii="Arial" w:hAnsi="Arial"/>
      <w:b/>
      <w:bCs/>
    </w:rPr>
  </w:style>
  <w:style w:type="paragraph" w:styleId="Revision">
    <w:name w:val="Revision"/>
    <w:hidden/>
    <w:uiPriority w:val="99"/>
    <w:semiHidden/>
    <w:rsid w:val="00C94A4B"/>
    <w:rPr>
      <w:rFonts w:ascii="Arial" w:hAnsi="Arial"/>
      <w:sz w:val="24"/>
      <w:szCs w:val="24"/>
    </w:rPr>
  </w:style>
  <w:style w:type="paragraph" w:customStyle="1" w:styleId="MainTextBodyCopy">
    <w:name w:val="Main Text | Body Copy"/>
    <w:basedOn w:val="Normal"/>
    <w:link w:val="MainTextBodyCopyChar"/>
    <w:qFormat/>
    <w:rsid w:val="00A82840"/>
    <w:pPr>
      <w:spacing w:after="200" w:line="259" w:lineRule="auto"/>
    </w:pPr>
    <w:rPr>
      <w:rFonts w:asciiTheme="minorHAnsi" w:eastAsiaTheme="minorHAnsi" w:hAnsiTheme="minorHAnsi" w:cstheme="minorBidi"/>
      <w:sz w:val="21"/>
      <w:szCs w:val="21"/>
      <w:lang w:val="en-CA"/>
    </w:rPr>
  </w:style>
  <w:style w:type="character" w:customStyle="1" w:styleId="MainTextBodyCopyChar">
    <w:name w:val="Main Text | Body Copy Char"/>
    <w:basedOn w:val="DefaultParagraphFont"/>
    <w:link w:val="MainTextBodyCopy"/>
    <w:rsid w:val="00A82840"/>
    <w:rPr>
      <w:rFonts w:asciiTheme="minorHAnsi" w:eastAsiaTheme="minorHAnsi" w:hAnsiTheme="minorHAnsi" w:cstheme="minorBidi"/>
      <w:sz w:val="21"/>
      <w:szCs w:val="21"/>
      <w:lang w:val="en-CA"/>
    </w:rPr>
  </w:style>
  <w:style w:type="paragraph" w:customStyle="1" w:styleId="BulletPointIndented2ndTierBullets">
    <w:name w:val="Bullet Point Indented | 2nd Tier Bullets"/>
    <w:basedOn w:val="MainTextBodyCopy"/>
    <w:link w:val="BulletPointIndented2ndTierBulletsChar"/>
    <w:qFormat/>
    <w:rsid w:val="00D30CBB"/>
    <w:pPr>
      <w:numPr>
        <w:numId w:val="12"/>
      </w:numPr>
      <w:spacing w:after="0"/>
    </w:pPr>
  </w:style>
  <w:style w:type="character" w:customStyle="1" w:styleId="BulletPointIndented2ndTierBulletsChar">
    <w:name w:val="Bullet Point Indented | 2nd Tier Bullets Char"/>
    <w:basedOn w:val="MainTextBodyCopyChar"/>
    <w:link w:val="BulletPointIndented2ndTierBullets"/>
    <w:rsid w:val="00D30CBB"/>
    <w:rPr>
      <w:rFonts w:asciiTheme="minorHAnsi" w:eastAsiaTheme="minorHAnsi" w:hAnsiTheme="minorHAnsi" w:cstheme="minorBidi"/>
      <w:sz w:val="21"/>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00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il@fntc.ca" TargetMode="External"/><Relationship Id="rId4" Type="http://schemas.openxmlformats.org/officeDocument/2006/relationships/settings" Target="settings.xml"/><Relationship Id="rId9" Type="http://schemas.openxmlformats.org/officeDocument/2006/relationships/hyperlink" Target="http://www.fntc.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97B2B-9558-4E6A-AACB-2A0439D5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824</Words>
  <Characters>4726</Characters>
  <Application>Microsoft Office Word</Application>
  <DocSecurity>0</DocSecurity>
  <Lines>109</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Web Cover Note for PIP BAT (welldrilling)</vt:lpstr>
      <vt:lpstr>Web Cover Note for PIP BAT (welldrilling)</vt:lpstr>
    </vt:vector>
  </TitlesOfParts>
  <Company/>
  <LinksUpToDate>false</LinksUpToDate>
  <CharactersWithSpaces>5516</CharactersWithSpaces>
  <SharedDoc>false</SharedDoc>
  <HLinks>
    <vt:vector size="6" baseType="variant">
      <vt:variant>
        <vt:i4>7733310</vt:i4>
      </vt:variant>
      <vt:variant>
        <vt:i4>2</vt:i4>
      </vt:variant>
      <vt:variant>
        <vt:i4>0</vt:i4>
      </vt:variant>
      <vt:variant>
        <vt:i4>5</vt:i4>
      </vt:variant>
      <vt:variant>
        <vt:lpwstr>http://www.fntc.ca/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Cover Note for PIP BAT (welldrilling)</dc:title>
  <dc:creator>FNTC</dc:creator>
  <cp:lastModifiedBy>Tracey Simon</cp:lastModifiedBy>
  <cp:revision>3</cp:revision>
  <cp:lastPrinted>2007-08-23T16:38:00Z</cp:lastPrinted>
  <dcterms:created xsi:type="dcterms:W3CDTF">2025-12-02T22:22:00Z</dcterms:created>
  <dcterms:modified xsi:type="dcterms:W3CDTF">2025-12-02T22:23:00Z</dcterms:modified>
</cp:coreProperties>
</file>